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both"/>
        <w:rPr>
          <w:color w:val="000000"/>
        </w:rPr>
      </w:pPr>
      <w:r w:rsidDel="00000000" w:rsidR="00000000" w:rsidRPr="00000000">
        <w:rPr>
          <w:rtl w:val="0"/>
        </w:rPr>
      </w:r>
    </w:p>
    <w:p w:rsidR="00000000" w:rsidDel="00000000" w:rsidP="00000000" w:rsidRDefault="00000000" w:rsidRPr="00000000" w14:paraId="00000002">
      <w:pPr>
        <w:spacing w:after="0" w:line="240" w:lineRule="auto"/>
        <w:jc w:val="both"/>
        <w:rPr>
          <w:color w:val="000000"/>
        </w:rPr>
      </w:pPr>
      <w:r w:rsidDel="00000000" w:rsidR="00000000" w:rsidRPr="00000000">
        <w:rPr>
          <w:color w:val="000000"/>
          <w:rtl w:val="0"/>
        </w:rPr>
        <w:t xml:space="preserve">14/5/2022</w:t>
      </w:r>
      <w:r w:rsidDel="00000000" w:rsidR="00000000" w:rsidRPr="00000000">
        <w:rPr>
          <w:color w:val="caf278"/>
        </w:rPr>
        <mc:AlternateContent>
          <mc:Choice Requires="wpg">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772400" cy="10058400"/>
                <wp:effectExtent b="0" l="0" r="0" t="0"/>
                <wp:wrapNone/>
                <wp:docPr id="384" name=""/>
                <a:graphic>
                  <a:graphicData uri="http://schemas.microsoft.com/office/word/2010/wordprocessingGroup">
                    <wpg:wgp>
                      <wpg:cNvGrpSpPr/>
                      <wpg:grpSpPr>
                        <a:xfrm>
                          <a:off x="1459800" y="0"/>
                          <a:ext cx="7772400" cy="10058400"/>
                          <a:chOff x="1459800" y="0"/>
                          <a:chExt cx="7772400" cy="7560000"/>
                        </a:xfrm>
                      </wpg:grpSpPr>
                      <wpg:grpSp>
                        <wpg:cNvGrpSpPr/>
                        <wpg:grpSpPr>
                          <a:xfrm>
                            <a:off x="1459800" y="0"/>
                            <a:ext cx="7772400" cy="7560000"/>
                            <a:chOff x="0" y="0"/>
                            <a:chExt cx="12240" cy="15840"/>
                          </a:xfrm>
                        </wpg:grpSpPr>
                        <wps:wsp>
                          <wps:cNvSpPr/>
                          <wps:cNvPr id="3" name="Shape 3"/>
                          <wps:spPr>
                            <a:xfrm>
                              <a:off x="0" y="0"/>
                              <a:ext cx="12225" cy="158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0" y="0"/>
                              <a:ext cx="12240" cy="15840"/>
                            </a:xfrm>
                            <a:prstGeom prst="rect">
                              <a:avLst/>
                            </a:prstGeom>
                            <a:solidFill>
                              <a:srgbClr val="6C6F4B"/>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612" y="638"/>
                              <a:ext cx="11016" cy="14564"/>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772400" cy="10058400"/>
                <wp:effectExtent b="0" l="0" r="0" t="0"/>
                <wp:wrapNone/>
                <wp:docPr id="384"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7772400" cy="10058400"/>
                        </a:xfrm>
                        <a:prstGeom prst="rect"/>
                        <a:ln/>
                      </pic:spPr>
                    </pic:pic>
                  </a:graphicData>
                </a:graphic>
              </wp:anchor>
            </w:drawing>
          </mc:Fallback>
        </mc:AlternateContent>
      </w:r>
      <w:r w:rsidDel="00000000" w:rsidR="00000000" w:rsidRPr="00000000">
        <w:rPr>
          <w:rtl w:val="0"/>
        </w:rPr>
      </w:r>
    </w:p>
    <w:tbl>
      <w:tblPr>
        <w:tblStyle w:val="Table1"/>
        <w:tblW w:w="8720.0" w:type="dxa"/>
        <w:jc w:val="left"/>
        <w:tblInd w:w="0.0" w:type="dxa"/>
        <w:tblLayout w:type="fixed"/>
        <w:tblLook w:val="0400"/>
      </w:tblPr>
      <w:tblGrid>
        <w:gridCol w:w="8720"/>
        <w:tblGridChange w:id="0">
          <w:tblGrid>
            <w:gridCol w:w="8720"/>
          </w:tblGrid>
        </w:tblGridChange>
      </w:tblGrid>
      <w:tr>
        <w:trPr>
          <w:cantSplit w:val="0"/>
          <w:trHeight w:val="360" w:hRule="atLeast"/>
          <w:tblHeader w:val="0"/>
        </w:trPr>
        <w:tc>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04">
      <w:pPr>
        <w:spacing w:after="0" w:line="240" w:lineRule="auto"/>
        <w:jc w:val="both"/>
        <w:rPr>
          <w:b w:val="1"/>
        </w:rPr>
      </w:pPr>
      <w:r w:rsidDel="00000000" w:rsidR="00000000" w:rsidRPr="00000000">
        <w:rPr>
          <w:rtl w:val="0"/>
        </w:rPr>
      </w:r>
    </w:p>
    <w:tbl>
      <w:tblPr>
        <w:tblStyle w:val="Table2"/>
        <w:tblW w:w="11031.0" w:type="dxa"/>
        <w:jc w:val="left"/>
        <w:tblInd w:w="0.0" w:type="dxa"/>
        <w:tblLayout w:type="fixed"/>
        <w:tblLook w:val="0400"/>
      </w:tblPr>
      <w:tblGrid>
        <w:gridCol w:w="2206"/>
        <w:gridCol w:w="8825"/>
        <w:tblGridChange w:id="0">
          <w:tblGrid>
            <w:gridCol w:w="2206"/>
            <w:gridCol w:w="8825"/>
          </w:tblGrid>
        </w:tblGridChange>
      </w:tblGrid>
      <w:tr>
        <w:trPr>
          <w:cantSplit w:val="0"/>
          <w:trHeight w:val="1080" w:hRule="atLeast"/>
          <w:tblHeader w:val="0"/>
        </w:trPr>
        <w:tc>
          <w:tcPr>
            <w:shd w:fill="000000" w:val="clear"/>
            <w:vAlign w:val="cente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b w:val="0"/>
                <w:i w:val="0"/>
                <w:smallCaps w:val="1"/>
                <w:strike w:val="0"/>
                <w:color w:val="000000"/>
                <w:sz w:val="40"/>
                <w:szCs w:val="40"/>
                <w:u w:val="none"/>
                <w:shd w:fill="auto" w:val="clear"/>
                <w:vertAlign w:val="baseline"/>
              </w:rPr>
            </w:pPr>
            <w:r w:rsidDel="00000000" w:rsidR="00000000" w:rsidRPr="00000000">
              <w:rPr>
                <w:rFonts w:ascii="Century Gothic" w:cs="Century Gothic" w:eastAsia="Century Gothic" w:hAnsi="Century Gothic"/>
                <w:b w:val="0"/>
                <w:i w:val="0"/>
                <w:smallCaps w:val="1"/>
                <w:strike w:val="0"/>
                <w:color w:val="000000"/>
                <w:sz w:val="40"/>
                <w:szCs w:val="40"/>
                <w:u w:val="none"/>
                <w:shd w:fill="auto" w:val="clear"/>
                <w:vertAlign w:val="baseline"/>
                <w:rtl w:val="0"/>
              </w:rPr>
              <w:t xml:space="preserve">PEFC BRAZIL</w:t>
            </w:r>
          </w:p>
        </w:tc>
        <w:tc>
          <w:tcPr>
            <w:shd w:fill="auto" w:val="clear"/>
            <w:vAlign w:val="center"/>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b w:val="0"/>
                <w:i w:val="0"/>
                <w:smallCaps w:val="1"/>
                <w:strike w:val="0"/>
                <w:color w:val="ffffff"/>
                <w:sz w:val="48"/>
                <w:szCs w:val="48"/>
                <w:u w:val="none"/>
                <w:shd w:fill="auto" w:val="clear"/>
                <w:vertAlign w:val="baseline"/>
              </w:rPr>
            </w:pPr>
            <w:r w:rsidDel="00000000" w:rsidR="00000000" w:rsidRPr="00000000">
              <w:rPr>
                <w:rFonts w:ascii="Century Gothic" w:cs="Century Gothic" w:eastAsia="Century Gothic" w:hAnsi="Century Gothic"/>
                <w:b w:val="0"/>
                <w:i w:val="0"/>
                <w:smallCaps w:val="1"/>
                <w:strike w:val="0"/>
                <w:color w:val="ffffff"/>
                <w:sz w:val="48"/>
                <w:szCs w:val="48"/>
                <w:u w:val="none"/>
                <w:shd w:fill="auto" w:val="clear"/>
                <w:vertAlign w:val="baseline"/>
                <w:rtl w:val="0"/>
              </w:rPr>
              <w:t xml:space="preserve">DEVELOPMENT REPORT</w:t>
            </w:r>
          </w:p>
        </w:tc>
      </w:tr>
    </w:tbl>
    <w:p w:rsidR="00000000" w:rsidDel="00000000" w:rsidP="00000000" w:rsidRDefault="00000000" w:rsidRPr="00000000" w14:paraId="00000007">
      <w:pPr>
        <w:spacing w:after="0" w:line="240" w:lineRule="auto"/>
        <w:jc w:val="both"/>
        <w:rPr>
          <w:b w:val="1"/>
        </w:rPr>
      </w:pPr>
      <w:r w:rsidDel="00000000" w:rsidR="00000000" w:rsidRPr="00000000">
        <w:br w:type="page"/>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748456" w:val="clear"/>
        <w:spacing w:after="0" w:before="0" w:line="240" w:lineRule="auto"/>
        <w:ind w:left="360" w:right="0" w:hanging="36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INTRODUCTION AND </w:t>
      </w:r>
      <w:r w:rsidDel="00000000" w:rsidR="00000000" w:rsidRPr="00000000">
        <w:rPr>
          <w:b w:val="1"/>
          <w:rtl w:val="0"/>
        </w:rPr>
        <w:t xml:space="preserve">OBJECTIVES</w:t>
      </w: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 OF THE REVISION </w:t>
      </w:r>
    </w:p>
    <w:p w:rsidR="00000000" w:rsidDel="00000000" w:rsidP="00000000" w:rsidRDefault="00000000" w:rsidRPr="00000000" w14:paraId="00000009">
      <w:pPr>
        <w:spacing w:after="0" w:line="240" w:lineRule="auto"/>
        <w:jc w:val="both"/>
        <w:rPr>
          <w:b w:val="1"/>
        </w:rPr>
      </w:pPr>
      <w:r w:rsidDel="00000000" w:rsidR="00000000" w:rsidRPr="00000000">
        <w:rPr>
          <w:rtl w:val="0"/>
        </w:rPr>
      </w:r>
    </w:p>
    <w:p w:rsidR="00000000" w:rsidDel="00000000" w:rsidP="00000000" w:rsidRDefault="00000000" w:rsidRPr="00000000" w14:paraId="0000000A">
      <w:pPr>
        <w:spacing w:after="0" w:line="240" w:lineRule="auto"/>
        <w:ind w:firstLine="360"/>
        <w:jc w:val="both"/>
        <w:rPr/>
      </w:pPr>
      <w:r w:rsidDel="00000000" w:rsidR="00000000" w:rsidRPr="00000000">
        <w:rPr>
          <w:rtl w:val="0"/>
        </w:rPr>
        <w:t xml:space="preserve">The first Brazilian PEFC scheme was Cerflor (Brazilian Forest Certification Program), which was developed by INMETRO (National Institute of Metrology, Quality and Technology) in 2002 and achieved its PEFC endorsement in 2005.</w:t>
      </w:r>
    </w:p>
    <w:p w:rsidR="00000000" w:rsidDel="00000000" w:rsidP="00000000" w:rsidRDefault="00000000" w:rsidRPr="00000000" w14:paraId="0000000B">
      <w:pPr>
        <w:spacing w:after="0" w:line="240" w:lineRule="auto"/>
        <w:ind w:firstLine="360"/>
        <w:jc w:val="both"/>
        <w:rPr/>
      </w:pPr>
      <w:r w:rsidDel="00000000" w:rsidR="00000000" w:rsidRPr="00000000">
        <w:rPr>
          <w:rtl w:val="0"/>
        </w:rPr>
        <w:t xml:space="preserve">Due to operational and budgetary limitations affecting its ability to deliver on its functions and responsibilities, INMETRO presented PEFC its intention of resign from its PEFC membership after having managed Cerflor for almost 20 years. </w:t>
      </w:r>
    </w:p>
    <w:p w:rsidR="00000000" w:rsidDel="00000000" w:rsidP="00000000" w:rsidRDefault="00000000" w:rsidRPr="00000000" w14:paraId="0000000C">
      <w:pPr>
        <w:spacing w:after="0" w:line="240" w:lineRule="auto"/>
        <w:ind w:firstLine="360"/>
        <w:jc w:val="both"/>
        <w:rPr/>
      </w:pPr>
      <w:r w:rsidDel="00000000" w:rsidR="00000000" w:rsidRPr="00000000">
        <w:rPr>
          <w:rtl w:val="0"/>
        </w:rPr>
        <w:t xml:space="preserve">Therefore, in February 2022, PEFC General Assembly Postal Ballot 01-2022 approved the transfer of Cerflor management and PEFC NGB membership for Brazil from INMETRO to a new organization, the Pro-Forest Management Institute (IPMF).</w:t>
      </w:r>
    </w:p>
    <w:p w:rsidR="00000000" w:rsidDel="00000000" w:rsidP="00000000" w:rsidRDefault="00000000" w:rsidRPr="00000000" w14:paraId="0000000D">
      <w:pPr>
        <w:spacing w:after="0" w:line="240" w:lineRule="auto"/>
        <w:ind w:firstLine="360"/>
        <w:jc w:val="both"/>
        <w:rPr/>
      </w:pPr>
      <w:r w:rsidDel="00000000" w:rsidR="00000000" w:rsidRPr="00000000">
        <w:rPr>
          <w:rtl w:val="0"/>
        </w:rPr>
        <w:t xml:space="preserve">The resignation of INMETRO and the establishment of IPMF were coordinated and fully supported by the forest productive sector, mainly via Ibá (the Brazilian Tree Industry). Certification bodies, universities, and other stakeholders also supported the initiative, recognizing that it would be a game changer to develop all the potential that the PEFC certification has in Brazil.</w:t>
      </w:r>
    </w:p>
    <w:p w:rsidR="00000000" w:rsidDel="00000000" w:rsidP="00000000" w:rsidRDefault="00000000" w:rsidRPr="00000000" w14:paraId="0000000E">
      <w:pPr>
        <w:spacing w:after="0" w:line="240" w:lineRule="auto"/>
        <w:ind w:firstLine="426"/>
        <w:jc w:val="both"/>
        <w:rPr/>
      </w:pPr>
      <w:r w:rsidDel="00000000" w:rsidR="00000000" w:rsidRPr="00000000">
        <w:rPr>
          <w:rtl w:val="0"/>
        </w:rPr>
        <w:t xml:space="preserve">Following the transfer, the IPMF decided that the PEFC endorsed certification system in Brazil will be called PEFC Brazil instead of Cerflor, to better align with the entire PEFC Alliance and improve the recognition and promotion of the PEFC brand among stakeholders, buyers, and certificate holders in Brazil.</w:t>
      </w:r>
    </w:p>
    <w:p w:rsidR="00000000" w:rsidDel="00000000" w:rsidP="00000000" w:rsidRDefault="00000000" w:rsidRPr="00000000" w14:paraId="0000000F">
      <w:pPr>
        <w:spacing w:after="0" w:line="240" w:lineRule="auto"/>
        <w:ind w:firstLine="426"/>
        <w:jc w:val="both"/>
        <w:rPr/>
      </w:pPr>
      <w:r w:rsidDel="00000000" w:rsidR="00000000" w:rsidRPr="00000000">
        <w:rPr>
          <w:rtl w:val="0"/>
        </w:rPr>
        <w:t xml:space="preserve">The new governance of the system has IPMF as manager of PEFC Brazil, but maintained INMETRO in the accreditation role and ABNT (Brazilian Association for Technical Standards) in the normalization role. </w:t>
      </w:r>
    </w:p>
    <w:p w:rsidR="00000000" w:rsidDel="00000000" w:rsidP="00000000" w:rsidRDefault="00000000" w:rsidRPr="00000000" w14:paraId="00000010">
      <w:pPr>
        <w:spacing w:after="0" w:line="240" w:lineRule="auto"/>
        <w:ind w:firstLine="426"/>
        <w:jc w:val="both"/>
        <w:rPr/>
      </w:pPr>
      <w:r w:rsidDel="00000000" w:rsidR="00000000" w:rsidRPr="00000000">
        <w:rPr>
          <w:rtl w:val="0"/>
        </w:rPr>
        <w:t xml:space="preserve">The change in governance also demanded changes in the normative framework in order to keep it relevant, updated, and fully operating. For this reason, PEFC Brazil conducted a full revision of its normative framework, mainly of its administrative documents. Fortunately, these revisions aligned with the ordinary and mandatory re-endorsement of the system, which has a deadline of May 14, 2022. </w:t>
      </w:r>
    </w:p>
    <w:p w:rsidR="00000000" w:rsidDel="00000000" w:rsidP="00000000" w:rsidRDefault="00000000" w:rsidRPr="00000000" w14:paraId="00000011">
      <w:pPr>
        <w:spacing w:after="0" w:line="240" w:lineRule="auto"/>
        <w:ind w:firstLine="426"/>
        <w:jc w:val="both"/>
        <w:rPr/>
      </w:pPr>
      <w:r w:rsidDel="00000000" w:rsidR="00000000" w:rsidRPr="00000000">
        <w:rPr>
          <w:rtl w:val="0"/>
        </w:rPr>
        <w:t xml:space="preserve">ABNT also revised its two sustainable forest management standards in order to align their requirements with the new PEFC benchmarking standard (PEFC ST 1003:2018). </w:t>
      </w:r>
    </w:p>
    <w:p w:rsidR="00000000" w:rsidDel="00000000" w:rsidP="00000000" w:rsidRDefault="00000000" w:rsidRPr="00000000" w14:paraId="00000012">
      <w:pPr>
        <w:spacing w:after="0" w:line="240" w:lineRule="auto"/>
        <w:jc w:val="both"/>
        <w:rPr>
          <w:b w:val="1"/>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748456" w:val="clear"/>
        <w:spacing w:after="0" w:before="0" w:line="240" w:lineRule="auto"/>
        <w:ind w:left="360" w:right="0" w:hanging="36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FORESTRY SECTOR IN BRAZIL</w:t>
      </w:r>
    </w:p>
    <w:p w:rsidR="00000000" w:rsidDel="00000000" w:rsidP="00000000" w:rsidRDefault="00000000" w:rsidRPr="00000000" w14:paraId="00000014">
      <w:pPr>
        <w:spacing w:after="0" w:line="240" w:lineRule="auto"/>
        <w:jc w:val="both"/>
        <w:rPr>
          <w:b w:val="1"/>
        </w:rPr>
      </w:pPr>
      <w:r w:rsidDel="00000000" w:rsidR="00000000" w:rsidRPr="00000000">
        <w:rPr>
          <w:rtl w:val="0"/>
        </w:rPr>
      </w:r>
    </w:p>
    <w:p w:rsidR="00000000" w:rsidDel="00000000" w:rsidP="00000000" w:rsidRDefault="00000000" w:rsidRPr="00000000" w14:paraId="00000015">
      <w:pPr>
        <w:spacing w:after="0" w:line="240" w:lineRule="auto"/>
        <w:jc w:val="both"/>
        <w:rPr>
          <w:b w:val="1"/>
        </w:rPr>
      </w:pPr>
      <w:r w:rsidDel="00000000" w:rsidR="00000000" w:rsidRPr="00000000">
        <w:rPr>
          <w:b w:val="1"/>
          <w:rtl w:val="0"/>
        </w:rPr>
        <w:t xml:space="preserve">Land Use Policies </w:t>
      </w:r>
    </w:p>
    <w:p w:rsidR="00000000" w:rsidDel="00000000" w:rsidP="00000000" w:rsidRDefault="00000000" w:rsidRPr="00000000" w14:paraId="00000016">
      <w:pPr>
        <w:spacing w:after="0" w:line="240" w:lineRule="auto"/>
        <w:ind w:firstLine="284"/>
        <w:jc w:val="both"/>
        <w:rPr/>
      </w:pPr>
      <w:r w:rsidDel="00000000" w:rsidR="00000000" w:rsidRPr="00000000">
        <w:rPr>
          <w:rtl w:val="0"/>
        </w:rPr>
        <w:t xml:space="preserve">The most important legislation that reconciles the productive use of land and the preservation of water, soil and native vegetation is the Brazilian Forest Code (Law 12,651/2012). It applies to all land uses and imposes the need for forest cover in two types of areas:</w:t>
      </w:r>
    </w:p>
    <w:p w:rsidR="00000000" w:rsidDel="00000000" w:rsidP="00000000" w:rsidRDefault="00000000" w:rsidRPr="00000000" w14:paraId="0000001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Permanent Preservation Areas (PPA)</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 are the riverbanks, areas surrounding water springs, hilltops, and areas with slopes greater than 45 degrees. PPAs shall be set aside for preservation and may or may not be covered with natural vegetation</w:t>
      </w:r>
    </w:p>
    <w:p w:rsidR="00000000" w:rsidDel="00000000" w:rsidP="00000000" w:rsidRDefault="00000000" w:rsidRPr="00000000" w14:paraId="0000001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Legal Reserve (LR)</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 is the part of a property which must have its covering vegetation maintained, but it can be sustainably used to generate income when authorized by an environmental agency or established in a management plan. The size of this area varies according to the biome where the property is located and rages from 20% (for Atlantic Forest, Caatinga, Pantanal and Pampa), 35% (for Cerrado) and 80% (Amazon).</w:t>
      </w:r>
    </w:p>
    <w:p w:rsidR="00000000" w:rsidDel="00000000" w:rsidP="00000000" w:rsidRDefault="00000000" w:rsidRPr="00000000" w14:paraId="00000019">
      <w:pPr>
        <w:spacing w:after="0" w:line="240" w:lineRule="auto"/>
        <w:ind w:firstLine="284"/>
        <w:jc w:val="both"/>
        <w:rPr/>
      </w:pPr>
      <w:r w:rsidDel="00000000" w:rsidR="00000000" w:rsidRPr="00000000">
        <w:rPr>
          <w:rtl w:val="0"/>
        </w:rPr>
        <w:t xml:space="preserve">In Brazil, protected areas can be public or private. The public protected areas are Indigenous Lands and Conservation Units (248 Mha), the latter can be for full protection or for sustainable management. Law 9,985/2000 describes the different types of Conservation Units according to the activities that are allowed to be conducted in each one, as well as its relation with traditional populations’ livelihoods. </w:t>
      </w:r>
    </w:p>
    <w:p w:rsidR="00000000" w:rsidDel="00000000" w:rsidP="00000000" w:rsidRDefault="00000000" w:rsidRPr="00000000" w14:paraId="0000001A">
      <w:pPr>
        <w:spacing w:after="0" w:line="240" w:lineRule="auto"/>
        <w:ind w:firstLine="284"/>
        <w:jc w:val="both"/>
        <w:rPr/>
      </w:pPr>
      <w:r w:rsidDel="00000000" w:rsidR="00000000" w:rsidRPr="00000000">
        <w:rPr>
          <w:rtl w:val="0"/>
        </w:rPr>
        <w:t xml:space="preserve">The private protected areas are mainly PPAs and LRs, and a small portion of Private Natural Heritage Reserves (RPPN - a category of Conservation Unit that can be created voluntarily by private property owners). </w:t>
      </w:r>
    </w:p>
    <w:p w:rsidR="00000000" w:rsidDel="00000000" w:rsidP="00000000" w:rsidRDefault="00000000" w:rsidRPr="00000000" w14:paraId="0000001B">
      <w:pPr>
        <w:spacing w:after="0" w:line="240" w:lineRule="auto"/>
        <w:ind w:firstLine="284"/>
        <w:jc w:val="both"/>
        <w:rPr/>
      </w:pPr>
      <w:r w:rsidDel="00000000" w:rsidR="00000000" w:rsidRPr="00000000">
        <w:rPr>
          <w:rtl w:val="0"/>
        </w:rPr>
        <w:t xml:space="preserve">Primary forests and secondary formations can be utilized under a sustainable forest management regime within public or private lands. This activity depends on the categorization of the area (level of protection), for public lands, and approval of a sustainable forest management plan by the competent environmental agency.  </w:t>
      </w:r>
    </w:p>
    <w:p w:rsidR="00000000" w:rsidDel="00000000" w:rsidP="00000000" w:rsidRDefault="00000000" w:rsidRPr="00000000" w14:paraId="0000001C">
      <w:pPr>
        <w:spacing w:after="0" w:line="240" w:lineRule="auto"/>
        <w:ind w:firstLine="284"/>
        <w:jc w:val="both"/>
        <w:rPr/>
      </w:pPr>
      <w:r w:rsidDel="00000000" w:rsidR="00000000" w:rsidRPr="00000000">
        <w:rPr>
          <w:rtl w:val="0"/>
        </w:rPr>
        <w:t xml:space="preserve">If the native forest is in public domain, the Public Forests Management Law (11.284/2006) applies and allows the federal government, states, and municipalities to grant, through bidding, the legal right for a private entity to manage public forests for logging, non-timber products and services. The concession of public forests for sustainable management can only take place in areas not designated for community, indigenous, settlement projects, military use or Conservation Units.</w:t>
        <w:tab/>
      </w:r>
    </w:p>
    <w:p w:rsidR="00000000" w:rsidDel="00000000" w:rsidP="00000000" w:rsidRDefault="00000000" w:rsidRPr="00000000" w14:paraId="0000001D">
      <w:pPr>
        <w:spacing w:after="0" w:line="240" w:lineRule="auto"/>
        <w:ind w:firstLine="284"/>
        <w:jc w:val="both"/>
        <w:rPr/>
      </w:pPr>
      <w:r w:rsidDel="00000000" w:rsidR="00000000" w:rsidRPr="00000000">
        <w:rPr>
          <w:rtl w:val="0"/>
        </w:rPr>
        <w:t xml:space="preserve">The forest under concession remains standing, since the contracts signed with the companies only allow the development of reduced impact logging techniques. Therefore, the area is used in a rotation system, in which only four to six trees (20-30 m³ of wood) are removed per hectare and the same area will be utilized every 30 years, allowing the growth of the remaining trees. In 2017, Brazil had 1.5 million hectares of public forests under forest concession contracts. </w:t>
      </w:r>
    </w:p>
    <w:p w:rsidR="00000000" w:rsidDel="00000000" w:rsidP="00000000" w:rsidRDefault="00000000" w:rsidRPr="00000000" w14:paraId="0000001E">
      <w:pPr>
        <w:spacing w:after="0" w:line="240" w:lineRule="auto"/>
        <w:ind w:firstLine="284"/>
        <w:jc w:val="both"/>
        <w:rPr/>
      </w:pPr>
      <w:r w:rsidDel="00000000" w:rsidR="00000000" w:rsidRPr="00000000">
        <w:rPr>
          <w:rtl w:val="0"/>
        </w:rPr>
        <w:t xml:space="preserve">Sustainable forest management of native forests can also take place in Community Forests (157,376,806 ha), which are forests designated by the government for the use of traditional people, communities, indigenous people, family farmers, and settlers. This management is coordinated and promoted under the Federal Program of Community and Family Forest Management (Decree 6,874 / 2009). In the past, some forest management plans were approved in indigenous territories (about 115 M ha), but today there is a general legal understanding that logging is no longer permissible in these areas. In April, 2022, ICMBio (the entity responsible for the management of Conservation Units at the federal level) published a new regulation describing the technical procedures for forest management in public lands (IN ICMBio 05/2022). </w:t>
      </w:r>
    </w:p>
    <w:p w:rsidR="00000000" w:rsidDel="00000000" w:rsidP="00000000" w:rsidRDefault="00000000" w:rsidRPr="00000000" w14:paraId="0000001F">
      <w:pPr>
        <w:spacing w:after="0" w:line="240" w:lineRule="auto"/>
        <w:ind w:firstLine="284"/>
        <w:jc w:val="both"/>
        <w:rPr/>
      </w:pPr>
      <w:r w:rsidDel="00000000" w:rsidR="00000000" w:rsidRPr="00000000">
        <w:rPr>
          <w:rtl w:val="0"/>
        </w:rPr>
        <w:t xml:space="preserve">Besides the aforementioned regulations, all products originating from native forests must be accompanied by a mandatory license document for transportation and storage, the Document of Forest Origin (DOF), instituted by the MMA Regulatory Ordinance 253 of 2006. This document contains all the information about origin and is connected to a system that works similar to an accounting tool. While the DOF is the federal legal proof of legality, the states of Mato Grosso and Pará have also established their own parallel forestry system to address specific local concerns. </w:t>
      </w:r>
    </w:p>
    <w:p w:rsidR="00000000" w:rsidDel="00000000" w:rsidP="00000000" w:rsidRDefault="00000000" w:rsidRPr="00000000" w14:paraId="00000020">
      <w:pPr>
        <w:spacing w:after="0" w:line="240" w:lineRule="auto"/>
        <w:ind w:firstLine="284"/>
        <w:jc w:val="both"/>
        <w:rPr/>
      </w:pPr>
      <w:r w:rsidDel="00000000" w:rsidR="00000000" w:rsidRPr="00000000">
        <w:rPr>
          <w:rtl w:val="0"/>
        </w:rPr>
        <w:t xml:space="preserve">In 2014 Brazil launched an initiative named Sinaflor to integrate data from the country’s various forestry control systems, but it still has not reached its full objective. </w:t>
      </w:r>
    </w:p>
    <w:p w:rsidR="00000000" w:rsidDel="00000000" w:rsidP="00000000" w:rsidRDefault="00000000" w:rsidRPr="00000000" w14:paraId="00000021">
      <w:pPr>
        <w:spacing w:after="0" w:line="240" w:lineRule="auto"/>
        <w:ind w:firstLine="284"/>
        <w:jc w:val="both"/>
        <w:rPr/>
      </w:pPr>
      <w:r w:rsidDel="00000000" w:rsidR="00000000" w:rsidRPr="00000000">
        <w:rPr>
          <w:rtl w:val="0"/>
        </w:rPr>
        <w:t xml:space="preserve">Establishment of plantations is subject to the Brazilian Forest Code, as explained in more detail above, and a licensing process. The licensing process was established by Law 6.938/81 and is carried out by the competent environmental agencies that can grant the license to install, expand, and operate enterprises and activities that use environmental resources. The licensing process is regulated by CONAMA Regulations 001/86 and 237/97, and also Complementary Law 140/11, which established cooperation guidelines at the federal, state, and municipal levels. </w:t>
      </w:r>
    </w:p>
    <w:p w:rsidR="00000000" w:rsidDel="00000000" w:rsidP="00000000" w:rsidRDefault="00000000" w:rsidRPr="00000000" w14:paraId="00000022">
      <w:pPr>
        <w:spacing w:after="0" w:line="240" w:lineRule="auto"/>
        <w:jc w:val="both"/>
        <w:rPr>
          <w:b w:val="1"/>
        </w:rPr>
      </w:pPr>
      <w:r w:rsidDel="00000000" w:rsidR="00000000" w:rsidRPr="00000000">
        <w:rPr>
          <w:rtl w:val="0"/>
        </w:rPr>
      </w:r>
    </w:p>
    <w:p w:rsidR="00000000" w:rsidDel="00000000" w:rsidP="00000000" w:rsidRDefault="00000000" w:rsidRPr="00000000" w14:paraId="00000023">
      <w:pPr>
        <w:spacing w:after="0" w:line="240" w:lineRule="auto"/>
        <w:jc w:val="both"/>
        <w:rPr>
          <w:b w:val="1"/>
        </w:rPr>
      </w:pPr>
      <w:r w:rsidDel="00000000" w:rsidR="00000000" w:rsidRPr="00000000">
        <w:rPr>
          <w:b w:val="1"/>
          <w:rtl w:val="0"/>
        </w:rPr>
        <w:t xml:space="preserve">Facts &amp; Figures </w:t>
      </w:r>
    </w:p>
    <w:p w:rsidR="00000000" w:rsidDel="00000000" w:rsidP="00000000" w:rsidRDefault="00000000" w:rsidRPr="00000000" w14:paraId="00000024">
      <w:pPr>
        <w:spacing w:after="0" w:line="240" w:lineRule="auto"/>
        <w:ind w:firstLine="360"/>
        <w:jc w:val="both"/>
        <w:rPr/>
      </w:pPr>
      <w:r w:rsidDel="00000000" w:rsidR="00000000" w:rsidRPr="00000000">
        <w:rPr>
          <w:rtl w:val="0"/>
        </w:rPr>
        <w:t xml:space="preserve">Brazil is the largest country in South America, with a vast territory of more than 851 million hectares embracing 6 biodiversity-rich biomes: the Amazon (49.29%), Cerrado (23.92%), Caatinga (9.92%), Pampa (2.07%), Pantanal (1.76%), and Atlantic Forest (13.04%)(Figure 1). </w:t>
      </w:r>
    </w:p>
    <w:p w:rsidR="00000000" w:rsidDel="00000000" w:rsidP="00000000" w:rsidRDefault="00000000" w:rsidRPr="00000000" w14:paraId="00000025">
      <w:pPr>
        <w:spacing w:after="0" w:line="240" w:lineRule="auto"/>
        <w:ind w:firstLine="360"/>
        <w:jc w:val="both"/>
        <w:rPr/>
      </w:pPr>
      <w:r w:rsidDel="00000000" w:rsidR="00000000" w:rsidRPr="00000000">
        <w:rPr>
          <w:rtl w:val="0"/>
        </w:rPr>
      </w:r>
    </w:p>
    <w:p w:rsidR="00000000" w:rsidDel="00000000" w:rsidP="00000000" w:rsidRDefault="00000000" w:rsidRPr="00000000" w14:paraId="00000026">
      <w:pPr>
        <w:keepNext w:val="1"/>
        <w:spacing w:after="0" w:line="240" w:lineRule="auto"/>
        <w:ind w:firstLine="360"/>
        <w:jc w:val="center"/>
        <w:rPr/>
      </w:pPr>
      <w:r w:rsidDel="00000000" w:rsidR="00000000" w:rsidRPr="00000000">
        <w:rPr/>
        <w:drawing>
          <wp:inline distB="0" distT="0" distL="0" distR="0">
            <wp:extent cx="2845328" cy="4037127"/>
            <wp:effectExtent b="0" l="0" r="0" t="0"/>
            <wp:docPr id="385"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2845328" cy="4037127"/>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4a63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4a6300"/>
          <w:sz w:val="22"/>
          <w:szCs w:val="22"/>
          <w:u w:val="none"/>
          <w:shd w:fill="auto" w:val="clear"/>
          <w:vertAlign w:val="baseline"/>
          <w:rtl w:val="0"/>
        </w:rPr>
        <w:t xml:space="preserve">Figure 1 - Map of the six Brazilian biomes, as defined by the Brazilian Institute of Geography and Statistics (IBGE)</w:t>
      </w:r>
      <w:r w:rsidDel="00000000" w:rsidR="00000000" w:rsidRPr="00000000">
        <w:rPr>
          <w:rFonts w:ascii="Century Gothic" w:cs="Century Gothic" w:eastAsia="Century Gothic" w:hAnsi="Century Gothic"/>
          <w:b w:val="1"/>
          <w:i w:val="0"/>
          <w:smallCaps w:val="0"/>
          <w:strike w:val="0"/>
          <w:color w:val="4a6300"/>
          <w:sz w:val="22"/>
          <w:szCs w:val="22"/>
          <w:u w:val="none"/>
          <w:shd w:fill="auto" w:val="clear"/>
          <w:vertAlign w:val="superscript"/>
        </w:rPr>
        <w:footnoteReference w:customMarkFollows="0" w:id="0"/>
      </w:r>
      <w:r w:rsidDel="00000000" w:rsidR="00000000" w:rsidRPr="00000000">
        <w:rPr>
          <w:rtl w:val="0"/>
        </w:rPr>
      </w:r>
    </w:p>
    <w:p w:rsidR="00000000" w:rsidDel="00000000" w:rsidP="00000000" w:rsidRDefault="00000000" w:rsidRPr="00000000" w14:paraId="00000028">
      <w:pPr>
        <w:spacing w:after="0" w:line="240" w:lineRule="auto"/>
        <w:ind w:firstLine="360"/>
        <w:jc w:val="both"/>
        <w:rPr/>
      </w:pPr>
      <w:r w:rsidDel="00000000" w:rsidR="00000000" w:rsidRPr="00000000">
        <w:rPr>
          <w:rtl w:val="0"/>
        </w:rPr>
      </w:r>
    </w:p>
    <w:p w:rsidR="00000000" w:rsidDel="00000000" w:rsidP="00000000" w:rsidRDefault="00000000" w:rsidRPr="00000000" w14:paraId="00000029">
      <w:pPr>
        <w:spacing w:after="0" w:line="240" w:lineRule="auto"/>
        <w:ind w:firstLine="360"/>
        <w:jc w:val="both"/>
        <w:rPr/>
      </w:pPr>
      <w:r w:rsidDel="00000000" w:rsidR="00000000" w:rsidRPr="00000000">
        <w:rPr>
          <w:rtl w:val="0"/>
        </w:rPr>
        <w:t xml:space="preserve">Land use and land cover in Brazil is dominated by natural vegetation (68%), followed by agriculture and pasture (31%)</w:t>
      </w:r>
      <w:r w:rsidDel="00000000" w:rsidR="00000000" w:rsidRPr="00000000">
        <w:rPr>
          <w:vertAlign w:val="superscript"/>
        </w:rPr>
        <w:footnoteReference w:customMarkFollows="0" w:id="1"/>
      </w:r>
      <w:r w:rsidDel="00000000" w:rsidR="00000000" w:rsidRPr="00000000">
        <w:rPr>
          <w:rtl w:val="0"/>
        </w:rPr>
        <w:t xml:space="preserve">. This natural vegetation is comprised of forest formations, savannas, and native grasslands. </w:t>
      </w:r>
    </w:p>
    <w:p w:rsidR="00000000" w:rsidDel="00000000" w:rsidP="00000000" w:rsidRDefault="00000000" w:rsidRPr="00000000" w14:paraId="0000002A">
      <w:pPr>
        <w:spacing w:after="0" w:line="240" w:lineRule="auto"/>
        <w:ind w:firstLine="360"/>
        <w:jc w:val="both"/>
        <w:rPr/>
      </w:pPr>
      <w:r w:rsidDel="00000000" w:rsidR="00000000" w:rsidRPr="00000000">
        <w:rPr>
          <w:rtl w:val="0"/>
        </w:rPr>
        <w:t xml:space="preserve">Native forests account for 57% of Brazil’s territory, and totaled nearly 488 million hectares in 2019.</w:t>
      </w:r>
      <w:r w:rsidDel="00000000" w:rsidR="00000000" w:rsidRPr="00000000">
        <w:rPr>
          <w:vertAlign w:val="superscript"/>
        </w:rPr>
        <w:footnoteReference w:customMarkFollows="0" w:id="2"/>
      </w:r>
      <w:r w:rsidDel="00000000" w:rsidR="00000000" w:rsidRPr="00000000">
        <w:rPr>
          <w:rtl w:val="0"/>
        </w:rPr>
        <w:t xml:space="preserve"> </w:t>
      </w:r>
    </w:p>
    <w:p w:rsidR="00000000" w:rsidDel="00000000" w:rsidP="00000000" w:rsidRDefault="00000000" w:rsidRPr="00000000" w14:paraId="0000002B">
      <w:pPr>
        <w:spacing w:after="0" w:line="240" w:lineRule="auto"/>
        <w:ind w:firstLine="360"/>
        <w:jc w:val="both"/>
        <w:rPr/>
      </w:pPr>
      <w:r w:rsidDel="00000000" w:rsidR="00000000" w:rsidRPr="00000000">
        <w:rPr>
          <w:rtl w:val="0"/>
        </w:rPr>
        <w:t xml:space="preserve"> Forestry activities in Brazil are plantations and management of native forests. </w:t>
      </w:r>
    </w:p>
    <w:p w:rsidR="00000000" w:rsidDel="00000000" w:rsidP="00000000" w:rsidRDefault="00000000" w:rsidRPr="00000000" w14:paraId="0000002C">
      <w:pPr>
        <w:spacing w:after="0" w:line="240" w:lineRule="auto"/>
        <w:ind w:firstLine="360"/>
        <w:jc w:val="both"/>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Plantations:</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 The country has around 9.55 million hectares of forest plantations, mainly with eucalyptus (78%) and pine (18%) species. In 2020, the total area of planted trees dropped slightly by 1.4% compared to 2018. On the other hand, the estimated gross revenue for the sector increased 17.6% over 2019, especially due to the demand associated with the pandemic. One hectare of planted forest produces approximately 36 m³ of wood per year. </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In 2020, 0.75 mi ha of plantation in forest management units were Cerflor/PEFC certified, and 3.65 million ha had double certification with Cerflor/PEFC and FSC, totaling 4.4 million ha</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superscript"/>
        </w:rPr>
        <w:footnoteReference w:customMarkFollows="0" w:id="3"/>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 (Ibá, 2021). </w:t>
      </w:r>
    </w:p>
    <w:p w:rsidR="00000000" w:rsidDel="00000000" w:rsidP="00000000" w:rsidRDefault="00000000" w:rsidRPr="00000000" w14:paraId="0000002F">
      <w:pPr>
        <w:spacing w:after="0" w:line="240" w:lineRule="auto"/>
        <w:jc w:val="both"/>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Native Forest Management:</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 The main region where this activity takes place in Brazil is in the Amazon. The Amazon region has around 132 million hectares of forest that could be candidates for sustainable forest management. Of this total, 8.9 million ha are public forests that are already formally available for concessions, 30.6 million ha are public forests that could be subject to concessions, and 92.4 million ha are forests designated for community use. Currently, only 39.2 million ha are being utilized under concessions contracts (in public lands), by private owners or by communities. Table 1 (below) shows these numbers in more detail.</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In 2021, 2.6 million ha of forests managed by companies or communities in the Amazon region are certified for sustainable forest management by FSC and/or PEFC, or under the regulations established by forest concession contracts. This area has the potential to supply only 5% of the demand for logs in the region. It is important to highlight, however, that not all these 132 million ha can be fully considered available for sustainable forest management, because this decision depends on land use planning as well as the livelihoods and cultural use by traditional people. </w:t>
      </w:r>
    </w:p>
    <w:p w:rsidR="00000000" w:rsidDel="00000000" w:rsidP="00000000" w:rsidRDefault="00000000" w:rsidRPr="00000000" w14:paraId="00000032">
      <w:pPr>
        <w:spacing w:after="0" w:line="240" w:lineRule="auto"/>
        <w:jc w:val="both"/>
        <w:rPr>
          <w:highlight w:val="yellow"/>
        </w:rPr>
      </w:pPr>
      <w:r w:rsidDel="00000000" w:rsidR="00000000" w:rsidRPr="00000000">
        <w:rPr>
          <w:rtl w:val="0"/>
        </w:rPr>
      </w:r>
    </w:p>
    <w:tbl>
      <w:tblPr>
        <w:tblStyle w:val="Table3"/>
        <w:tblW w:w="864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61"/>
        <w:gridCol w:w="2161"/>
        <w:gridCol w:w="2161"/>
        <w:gridCol w:w="2161"/>
        <w:tblGridChange w:id="0">
          <w:tblGrid>
            <w:gridCol w:w="2161"/>
            <w:gridCol w:w="2161"/>
            <w:gridCol w:w="2161"/>
            <w:gridCol w:w="2161"/>
          </w:tblGrid>
        </w:tblGridChange>
      </w:tblGrid>
      <w:tr>
        <w:trPr>
          <w:cantSplit w:val="0"/>
          <w:tblHeader w:val="0"/>
        </w:trPr>
        <w:tc>
          <w:tcPr/>
          <w:p w:rsidR="00000000" w:rsidDel="00000000" w:rsidP="00000000" w:rsidRDefault="00000000" w:rsidRPr="00000000" w14:paraId="00000033">
            <w:pPr>
              <w:jc w:val="center"/>
              <w:rPr>
                <w:b w:val="1"/>
              </w:rPr>
            </w:pPr>
            <w:r w:rsidDel="00000000" w:rsidR="00000000" w:rsidRPr="00000000">
              <w:rPr>
                <w:rtl w:val="0"/>
              </w:rPr>
            </w:r>
          </w:p>
        </w:tc>
        <w:tc>
          <w:tcPr/>
          <w:p w:rsidR="00000000" w:rsidDel="00000000" w:rsidP="00000000" w:rsidRDefault="00000000" w:rsidRPr="00000000" w14:paraId="00000034">
            <w:pPr>
              <w:jc w:val="center"/>
              <w:rPr>
                <w:b w:val="1"/>
              </w:rPr>
            </w:pPr>
            <w:r w:rsidDel="00000000" w:rsidR="00000000" w:rsidRPr="00000000">
              <w:rPr>
                <w:rtl w:val="0"/>
              </w:rPr>
            </w:r>
          </w:p>
        </w:tc>
        <w:tc>
          <w:tcPr>
            <w:gridSpan w:val="2"/>
          </w:tcPr>
          <w:p w:rsidR="00000000" w:rsidDel="00000000" w:rsidP="00000000" w:rsidRDefault="00000000" w:rsidRPr="00000000" w14:paraId="00000035">
            <w:pPr>
              <w:jc w:val="center"/>
              <w:rPr>
                <w:b w:val="1"/>
              </w:rPr>
            </w:pPr>
            <w:r w:rsidDel="00000000" w:rsidR="00000000" w:rsidRPr="00000000">
              <w:rPr>
                <w:b w:val="1"/>
                <w:rtl w:val="0"/>
              </w:rPr>
              <w:t xml:space="preserve">Area within the active forest management frontier</w:t>
            </w:r>
          </w:p>
        </w:tc>
      </w:tr>
      <w:tr>
        <w:trPr>
          <w:cantSplit w:val="0"/>
          <w:tblHeader w:val="0"/>
        </w:trPr>
        <w:tc>
          <w:tcPr/>
          <w:p w:rsidR="00000000" w:rsidDel="00000000" w:rsidP="00000000" w:rsidRDefault="00000000" w:rsidRPr="00000000" w14:paraId="00000037">
            <w:pPr>
              <w:jc w:val="center"/>
              <w:rPr>
                <w:b w:val="1"/>
              </w:rPr>
            </w:pPr>
            <w:r w:rsidDel="00000000" w:rsidR="00000000" w:rsidRPr="00000000">
              <w:rPr>
                <w:b w:val="1"/>
                <w:rtl w:val="0"/>
              </w:rPr>
              <w:t xml:space="preserve">Categories</w:t>
            </w:r>
          </w:p>
        </w:tc>
        <w:tc>
          <w:tcPr/>
          <w:p w:rsidR="00000000" w:rsidDel="00000000" w:rsidP="00000000" w:rsidRDefault="00000000" w:rsidRPr="00000000" w14:paraId="00000038">
            <w:pPr>
              <w:jc w:val="center"/>
              <w:rPr>
                <w:b w:val="1"/>
              </w:rPr>
            </w:pPr>
            <w:r w:rsidDel="00000000" w:rsidR="00000000" w:rsidRPr="00000000">
              <w:rPr>
                <w:b w:val="1"/>
                <w:rtl w:val="0"/>
              </w:rPr>
              <w:t xml:space="preserve">Total area in the Brazilian Amazon (ha)</w:t>
            </w:r>
          </w:p>
        </w:tc>
        <w:tc>
          <w:tcPr/>
          <w:p w:rsidR="00000000" w:rsidDel="00000000" w:rsidP="00000000" w:rsidRDefault="00000000" w:rsidRPr="00000000" w14:paraId="00000039">
            <w:pPr>
              <w:jc w:val="center"/>
              <w:rPr>
                <w:b w:val="1"/>
              </w:rPr>
            </w:pPr>
            <w:r w:rsidDel="00000000" w:rsidR="00000000" w:rsidRPr="00000000">
              <w:rPr>
                <w:b w:val="1"/>
                <w:rtl w:val="0"/>
              </w:rPr>
              <w:t xml:space="preserve">Area (ha)</w:t>
            </w:r>
          </w:p>
        </w:tc>
        <w:tc>
          <w:tcPr/>
          <w:p w:rsidR="00000000" w:rsidDel="00000000" w:rsidP="00000000" w:rsidRDefault="00000000" w:rsidRPr="00000000" w14:paraId="0000003A">
            <w:pPr>
              <w:jc w:val="center"/>
              <w:rPr>
                <w:b w:val="1"/>
              </w:rPr>
            </w:pPr>
            <w:r w:rsidDel="00000000" w:rsidR="00000000" w:rsidRPr="00000000">
              <w:rPr>
                <w:b w:val="1"/>
                <w:rtl w:val="0"/>
              </w:rPr>
              <w:t xml:space="preserve">Potential to supply wood demand in the Amazon</w:t>
            </w:r>
          </w:p>
        </w:tc>
      </w:tr>
      <w:tr>
        <w:trPr>
          <w:cantSplit w:val="0"/>
          <w:tblHeader w:val="0"/>
        </w:trPr>
        <w:tc>
          <w:tcPr/>
          <w:p w:rsidR="00000000" w:rsidDel="00000000" w:rsidP="00000000" w:rsidRDefault="00000000" w:rsidRPr="00000000" w14:paraId="0000003B">
            <w:pPr>
              <w:jc w:val="center"/>
              <w:rPr/>
            </w:pPr>
            <w:r w:rsidDel="00000000" w:rsidR="00000000" w:rsidRPr="00000000">
              <w:rPr>
                <w:rtl w:val="0"/>
              </w:rPr>
              <w:t xml:space="preserve">Public forests already formally available for concessions</w:t>
            </w:r>
          </w:p>
        </w:tc>
        <w:tc>
          <w:tcPr/>
          <w:p w:rsidR="00000000" w:rsidDel="00000000" w:rsidP="00000000" w:rsidRDefault="00000000" w:rsidRPr="00000000" w14:paraId="0000003C">
            <w:pPr>
              <w:jc w:val="center"/>
              <w:rPr/>
            </w:pPr>
            <w:r w:rsidDel="00000000" w:rsidR="00000000" w:rsidRPr="00000000">
              <w:rPr>
                <w:rtl w:val="0"/>
              </w:rPr>
              <w:t xml:space="preserve">8,960,543.68</w:t>
            </w:r>
          </w:p>
        </w:tc>
        <w:tc>
          <w:tcPr/>
          <w:p w:rsidR="00000000" w:rsidDel="00000000" w:rsidP="00000000" w:rsidRDefault="00000000" w:rsidRPr="00000000" w14:paraId="0000003D">
            <w:pPr>
              <w:jc w:val="center"/>
              <w:rPr/>
            </w:pPr>
            <w:r w:rsidDel="00000000" w:rsidR="00000000" w:rsidRPr="00000000">
              <w:rPr>
                <w:rtl w:val="0"/>
              </w:rPr>
              <w:t xml:space="preserve">3,364,222.68</w:t>
            </w:r>
          </w:p>
        </w:tc>
        <w:tc>
          <w:tcPr/>
          <w:p w:rsidR="00000000" w:rsidDel="00000000" w:rsidP="00000000" w:rsidRDefault="00000000" w:rsidRPr="00000000" w14:paraId="0000003E">
            <w:pPr>
              <w:jc w:val="center"/>
              <w:rPr/>
            </w:pPr>
            <w:r w:rsidDel="00000000" w:rsidR="00000000" w:rsidRPr="00000000">
              <w:rPr>
                <w:rtl w:val="0"/>
              </w:rPr>
              <w:t xml:space="preserve">-</w:t>
            </w:r>
          </w:p>
        </w:tc>
      </w:tr>
      <w:tr>
        <w:trPr>
          <w:cantSplit w:val="0"/>
          <w:tblHeader w:val="0"/>
        </w:trPr>
        <w:tc>
          <w:tcPr/>
          <w:p w:rsidR="00000000" w:rsidDel="00000000" w:rsidP="00000000" w:rsidRDefault="00000000" w:rsidRPr="00000000" w14:paraId="0000003F">
            <w:pPr>
              <w:jc w:val="center"/>
              <w:rPr/>
            </w:pPr>
            <w:r w:rsidDel="00000000" w:rsidR="00000000" w:rsidRPr="00000000">
              <w:rPr>
                <w:rtl w:val="0"/>
              </w:rPr>
              <w:t xml:space="preserve">National and State Forests not subject to concessions (private lands)</w:t>
            </w:r>
          </w:p>
        </w:tc>
        <w:tc>
          <w:tcPr/>
          <w:p w:rsidR="00000000" w:rsidDel="00000000" w:rsidP="00000000" w:rsidRDefault="00000000" w:rsidRPr="00000000" w14:paraId="00000040">
            <w:pPr>
              <w:jc w:val="center"/>
              <w:rPr/>
            </w:pPr>
            <w:r w:rsidDel="00000000" w:rsidR="00000000" w:rsidRPr="00000000">
              <w:rPr>
                <w:rtl w:val="0"/>
              </w:rPr>
              <w:t xml:space="preserve">30,654,347.60</w:t>
            </w:r>
          </w:p>
        </w:tc>
        <w:tc>
          <w:tcPr/>
          <w:p w:rsidR="00000000" w:rsidDel="00000000" w:rsidP="00000000" w:rsidRDefault="00000000" w:rsidRPr="00000000" w14:paraId="00000041">
            <w:pPr>
              <w:jc w:val="center"/>
              <w:rPr/>
            </w:pPr>
            <w:r w:rsidDel="00000000" w:rsidR="00000000" w:rsidRPr="00000000">
              <w:rPr>
                <w:rtl w:val="0"/>
              </w:rPr>
              <w:t xml:space="preserve">12,593,176.26</w:t>
            </w:r>
          </w:p>
        </w:tc>
        <w:tc>
          <w:tcPr/>
          <w:p w:rsidR="00000000" w:rsidDel="00000000" w:rsidP="00000000" w:rsidRDefault="00000000" w:rsidRPr="00000000" w14:paraId="00000042">
            <w:pPr>
              <w:jc w:val="center"/>
              <w:rPr/>
            </w:pPr>
            <w:r w:rsidDel="00000000" w:rsidR="00000000" w:rsidRPr="00000000">
              <w:rPr>
                <w:rtl w:val="0"/>
              </w:rPr>
              <w:t xml:space="preserve">70%</w:t>
            </w:r>
          </w:p>
        </w:tc>
      </w:tr>
      <w:tr>
        <w:trPr>
          <w:cantSplit w:val="0"/>
          <w:tblHeader w:val="0"/>
        </w:trPr>
        <w:tc>
          <w:tcPr/>
          <w:p w:rsidR="00000000" w:rsidDel="00000000" w:rsidP="00000000" w:rsidRDefault="00000000" w:rsidRPr="00000000" w14:paraId="00000043">
            <w:pPr>
              <w:jc w:val="center"/>
              <w:rPr/>
            </w:pPr>
            <w:r w:rsidDel="00000000" w:rsidR="00000000" w:rsidRPr="00000000">
              <w:rPr>
                <w:rtl w:val="0"/>
              </w:rPr>
              <w:t xml:space="preserve">Public and private lands designated for communities</w:t>
            </w:r>
          </w:p>
        </w:tc>
        <w:tc>
          <w:tcPr/>
          <w:p w:rsidR="00000000" w:rsidDel="00000000" w:rsidP="00000000" w:rsidRDefault="00000000" w:rsidRPr="00000000" w14:paraId="00000044">
            <w:pPr>
              <w:jc w:val="center"/>
              <w:rPr/>
            </w:pPr>
            <w:r w:rsidDel="00000000" w:rsidR="00000000" w:rsidRPr="00000000">
              <w:rPr>
                <w:rtl w:val="0"/>
              </w:rPr>
              <w:t xml:space="preserve">92,454,747.77</w:t>
            </w:r>
          </w:p>
        </w:tc>
        <w:tc>
          <w:tcPr/>
          <w:p w:rsidR="00000000" w:rsidDel="00000000" w:rsidP="00000000" w:rsidRDefault="00000000" w:rsidRPr="00000000" w14:paraId="00000045">
            <w:pPr>
              <w:jc w:val="center"/>
              <w:rPr/>
            </w:pPr>
            <w:r w:rsidDel="00000000" w:rsidR="00000000" w:rsidRPr="00000000">
              <w:rPr>
                <w:rtl w:val="0"/>
              </w:rPr>
              <w:t xml:space="preserve">23,245,096.61</w:t>
            </w:r>
          </w:p>
        </w:tc>
        <w:tc>
          <w:tcPr/>
          <w:p w:rsidR="00000000" w:rsidDel="00000000" w:rsidP="00000000" w:rsidRDefault="00000000" w:rsidRPr="00000000" w14:paraId="00000046">
            <w:pPr>
              <w:jc w:val="center"/>
              <w:rPr/>
            </w:pPr>
            <w:r w:rsidDel="00000000" w:rsidR="00000000" w:rsidRPr="00000000">
              <w:rPr>
                <w:rtl w:val="0"/>
              </w:rPr>
              <w:t xml:space="preserve">130%</w:t>
            </w:r>
          </w:p>
        </w:tc>
      </w:tr>
      <w:tr>
        <w:trPr>
          <w:cantSplit w:val="0"/>
          <w:tblHeader w:val="0"/>
        </w:trPr>
        <w:tc>
          <w:tcPr/>
          <w:p w:rsidR="00000000" w:rsidDel="00000000" w:rsidP="00000000" w:rsidRDefault="00000000" w:rsidRPr="00000000" w14:paraId="00000047">
            <w:pPr>
              <w:jc w:val="center"/>
              <w:rPr/>
            </w:pPr>
            <w:r w:rsidDel="00000000" w:rsidR="00000000" w:rsidRPr="00000000">
              <w:rPr>
                <w:rtl w:val="0"/>
              </w:rPr>
              <w:t xml:space="preserve">Total</w:t>
            </w:r>
          </w:p>
        </w:tc>
        <w:tc>
          <w:tcPr/>
          <w:p w:rsidR="00000000" w:rsidDel="00000000" w:rsidP="00000000" w:rsidRDefault="00000000" w:rsidRPr="00000000" w14:paraId="00000048">
            <w:pPr>
              <w:jc w:val="center"/>
              <w:rPr/>
            </w:pPr>
            <w:r w:rsidDel="00000000" w:rsidR="00000000" w:rsidRPr="00000000">
              <w:rPr>
                <w:rtl w:val="0"/>
              </w:rPr>
              <w:t xml:space="preserve">132,069,639.05</w:t>
            </w:r>
          </w:p>
        </w:tc>
        <w:tc>
          <w:tcPr/>
          <w:p w:rsidR="00000000" w:rsidDel="00000000" w:rsidP="00000000" w:rsidRDefault="00000000" w:rsidRPr="00000000" w14:paraId="00000049">
            <w:pPr>
              <w:jc w:val="center"/>
              <w:rPr/>
            </w:pPr>
            <w:r w:rsidDel="00000000" w:rsidR="00000000" w:rsidRPr="00000000">
              <w:rPr>
                <w:rtl w:val="0"/>
              </w:rPr>
              <w:t xml:space="preserve">39,202,495.55</w:t>
            </w:r>
          </w:p>
        </w:tc>
        <w:tc>
          <w:tcPr/>
          <w:p w:rsidR="00000000" w:rsidDel="00000000" w:rsidP="00000000" w:rsidRDefault="00000000" w:rsidRPr="00000000" w14:paraId="0000004A">
            <w:pPr>
              <w:jc w:val="center"/>
              <w:rPr/>
            </w:pPr>
            <w:r w:rsidDel="00000000" w:rsidR="00000000" w:rsidRPr="00000000">
              <w:rPr>
                <w:rtl w:val="0"/>
              </w:rPr>
              <w:t xml:space="preserve">200%</w:t>
            </w:r>
          </w:p>
        </w:tc>
      </w:tr>
    </w:tbl>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Century Gothic" w:cs="Century Gothic" w:eastAsia="Century Gothic" w:hAnsi="Century Gothic"/>
          <w:b w:val="1"/>
          <w:i w:val="0"/>
          <w:smallCaps w:val="0"/>
          <w:strike w:val="0"/>
          <w:color w:val="94c6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94c600"/>
          <w:sz w:val="22"/>
          <w:szCs w:val="22"/>
          <w:u w:val="none"/>
          <w:shd w:fill="auto" w:val="clear"/>
          <w:vertAlign w:val="baseline"/>
          <w:rtl w:val="0"/>
        </w:rPr>
        <w:t xml:space="preserve">Table 1 - Total and potential area for sustainable forest management in the Amazon in Brazil</w:t>
      </w:r>
      <w:r w:rsidDel="00000000" w:rsidR="00000000" w:rsidRPr="00000000">
        <w:rPr>
          <w:rFonts w:ascii="Century Gothic" w:cs="Century Gothic" w:eastAsia="Century Gothic" w:hAnsi="Century Gothic"/>
          <w:b w:val="1"/>
          <w:i w:val="0"/>
          <w:smallCaps w:val="0"/>
          <w:strike w:val="0"/>
          <w:color w:val="94c600"/>
          <w:sz w:val="22"/>
          <w:szCs w:val="22"/>
          <w:u w:val="none"/>
          <w:shd w:fill="auto" w:val="clear"/>
          <w:vertAlign w:val="superscript"/>
        </w:rPr>
        <w:footnoteReference w:customMarkFollows="0" w:id="4"/>
      </w:r>
      <w:r w:rsidDel="00000000" w:rsidR="00000000" w:rsidRPr="00000000">
        <w:rPr>
          <w:rtl w:val="0"/>
        </w:rPr>
      </w:r>
    </w:p>
    <w:p w:rsidR="00000000" w:rsidDel="00000000" w:rsidP="00000000" w:rsidRDefault="00000000" w:rsidRPr="00000000" w14:paraId="0000004C">
      <w:pPr>
        <w:spacing w:after="0" w:line="240" w:lineRule="auto"/>
        <w:ind w:firstLine="284"/>
        <w:jc w:val="both"/>
        <w:rPr/>
      </w:pPr>
      <w:r w:rsidDel="00000000" w:rsidR="00000000" w:rsidRPr="00000000">
        <w:rPr>
          <w:rtl w:val="0"/>
        </w:rPr>
        <w:t xml:space="preserve">Natural and planted forests play a key role in supplying various products and services.</w:t>
      </w:r>
    </w:p>
    <w:p w:rsidR="00000000" w:rsidDel="00000000" w:rsidP="00000000" w:rsidRDefault="00000000" w:rsidRPr="00000000" w14:paraId="0000004D">
      <w:pPr>
        <w:spacing w:after="0" w:line="240" w:lineRule="auto"/>
        <w:ind w:firstLine="284"/>
        <w:jc w:val="both"/>
        <w:rPr/>
      </w:pPr>
      <w:r w:rsidDel="00000000" w:rsidR="00000000" w:rsidRPr="00000000">
        <w:rPr>
          <w:rtl w:val="0"/>
        </w:rPr>
        <w:t xml:space="preserve"> Plantations provide about 50% of all wood for industrial purposes in the world. Their wood is mainly used to produce wood panels, laminate flooring, pulp, paper, charcoal, and biomass – items that are present in our homes and our daily lives. Below there are some numbers for production of these products in Brazil:</w:t>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Wood Panels: The volume produced in 2020 was 7.1 million m³. Brazil is the 8</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superscript"/>
          <w:rtl w:val="0"/>
        </w:rPr>
        <w:t xml:space="preserve">th</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 largest producer of wood panels worldwide. </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Laminated flooring: this product reached an increase of 14% in sales volumes, totaling 11.8 million m² in 2020. </w:t>
      </w:r>
    </w:p>
    <w:p w:rsidR="00000000" w:rsidDel="00000000" w:rsidP="00000000" w:rsidRDefault="00000000" w:rsidRPr="00000000" w14:paraId="000000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Pulp: Brazil produced 21 millions of tons of pulp, and holds 2</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superscript"/>
          <w:rtl w:val="0"/>
        </w:rPr>
        <w:t xml:space="preserve">nd</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 place in the global production ranking.</w:t>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Paper: In 2020, production was 10.2 million of tons of paper. Brazil is the 10</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superscript"/>
          <w:rtl w:val="0"/>
        </w:rPr>
        <w:t xml:space="preserve">th</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 largest global producer of this product.</w:t>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Charcoal: Brazil is the leading global producer of charcoal, a bio-reducer used in the steelmaking industry. Consumption of charcoal by steelmakers reached 4.19 million tons in 2020. </w:t>
      </w:r>
    </w:p>
    <w:p w:rsidR="00000000" w:rsidDel="00000000" w:rsidP="00000000" w:rsidRDefault="00000000" w:rsidRPr="00000000" w14:paraId="00000053">
      <w:pPr>
        <w:spacing w:after="0" w:line="240" w:lineRule="auto"/>
        <w:ind w:firstLine="284"/>
        <w:jc w:val="both"/>
        <w:rPr/>
      </w:pPr>
      <w:r w:rsidDel="00000000" w:rsidR="00000000" w:rsidRPr="00000000">
        <w:rPr>
          <w:rtl w:val="0"/>
        </w:rPr>
        <w:t xml:space="preserve">Beyond conventional uses and through investments in technology and innovation, planted forests are also part of other industries such as automotive, pharmaceutical, chemical, cosmetics, aeronautics, textiles, and food. </w:t>
      </w:r>
    </w:p>
    <w:p w:rsidR="00000000" w:rsidDel="00000000" w:rsidP="00000000" w:rsidRDefault="00000000" w:rsidRPr="00000000" w14:paraId="00000054">
      <w:pPr>
        <w:spacing w:after="0" w:line="240" w:lineRule="auto"/>
        <w:ind w:firstLine="284"/>
        <w:jc w:val="both"/>
        <w:rPr/>
      </w:pPr>
      <w:r w:rsidDel="00000000" w:rsidR="00000000" w:rsidRPr="00000000">
        <w:rPr>
          <w:rtl w:val="0"/>
        </w:rPr>
        <w:t xml:space="preserve">As for the natural forest value chain, over the last 20 years this segment has observed a strong reduction in its activities in Amazon. In 1998, around 28 mi m³ of logs were exploited in the region (Lentini et al. 2003), but in 2020 this production dropped to less than 10 mi m³.</w:t>
      </w:r>
      <w:r w:rsidDel="00000000" w:rsidR="00000000" w:rsidRPr="00000000">
        <w:rPr>
          <w:vertAlign w:val="superscript"/>
          <w:rtl w:val="0"/>
        </w:rPr>
        <w:t xml:space="preserve">5</w:t>
      </w:r>
      <w:r w:rsidDel="00000000" w:rsidR="00000000" w:rsidRPr="00000000">
        <w:rPr>
          <w:rtl w:val="0"/>
        </w:rPr>
        <w:t xml:space="preserve"> </w:t>
      </w:r>
    </w:p>
    <w:p w:rsidR="00000000" w:rsidDel="00000000" w:rsidP="00000000" w:rsidRDefault="00000000" w:rsidRPr="00000000" w14:paraId="00000055">
      <w:pPr>
        <w:spacing w:after="0" w:line="240" w:lineRule="auto"/>
        <w:ind w:firstLine="284"/>
        <w:jc w:val="both"/>
        <w:rPr/>
      </w:pPr>
      <w:r w:rsidDel="00000000" w:rsidR="00000000" w:rsidRPr="00000000">
        <w:rPr>
          <w:rtl w:val="0"/>
        </w:rPr>
        <w:t xml:space="preserve">Still in 2020, around 3.2 mi m³ of sawn and processed wood was commercialized in the main production centers in the Amazon, which are located in the northwest region of Mato Grosso state, west of Pará state, and north of Rondônia state.  </w:t>
      </w:r>
    </w:p>
    <w:p w:rsidR="00000000" w:rsidDel="00000000" w:rsidP="00000000" w:rsidRDefault="00000000" w:rsidRPr="00000000" w14:paraId="00000056">
      <w:pPr>
        <w:spacing w:after="0" w:line="240" w:lineRule="auto"/>
        <w:ind w:firstLine="284"/>
        <w:jc w:val="both"/>
        <w:rPr>
          <w:b w:val="1"/>
        </w:rPr>
      </w:pPr>
      <w:r w:rsidDel="00000000" w:rsidR="00000000" w:rsidRPr="00000000">
        <w:rPr>
          <w:rtl w:val="0"/>
        </w:rPr>
        <w:t xml:space="preserve">As Table 1 shows, the private lands currently utilized in the Amazon are able to supply 70% of the demand, but a very small part of this area is certified.  </w:t>
      </w:r>
      <w:r w:rsidDel="00000000" w:rsidR="00000000" w:rsidRPr="00000000">
        <w:rPr>
          <w:rtl w:val="0"/>
        </w:rPr>
      </w:r>
    </w:p>
    <w:p w:rsidR="00000000" w:rsidDel="00000000" w:rsidP="00000000" w:rsidRDefault="00000000" w:rsidRPr="00000000" w14:paraId="00000057">
      <w:pPr>
        <w:spacing w:after="0" w:line="240" w:lineRule="auto"/>
        <w:ind w:firstLine="360"/>
        <w:jc w:val="both"/>
        <w:rPr/>
      </w:pPr>
      <w:r w:rsidDel="00000000" w:rsidR="00000000" w:rsidRPr="00000000">
        <w:rPr>
          <w:rtl w:val="0"/>
        </w:rPr>
      </w:r>
    </w:p>
    <w:p w:rsidR="00000000" w:rsidDel="00000000" w:rsidP="00000000" w:rsidRDefault="00000000" w:rsidRPr="00000000" w14:paraId="00000058">
      <w:pPr>
        <w:spacing w:after="0" w:line="240" w:lineRule="auto"/>
        <w:jc w:val="both"/>
        <w:rPr>
          <w:b w:val="1"/>
        </w:rPr>
      </w:pPr>
      <w:r w:rsidDel="00000000" w:rsidR="00000000" w:rsidRPr="00000000">
        <w:rPr>
          <w:b w:val="1"/>
          <w:rtl w:val="0"/>
        </w:rPr>
        <w:t xml:space="preserve">Impacts of the value chain</w:t>
      </w:r>
    </w:p>
    <w:p w:rsidR="00000000" w:rsidDel="00000000" w:rsidP="00000000" w:rsidRDefault="00000000" w:rsidRPr="00000000" w14:paraId="00000059">
      <w:pPr>
        <w:spacing w:after="0" w:line="240" w:lineRule="auto"/>
        <w:ind w:firstLine="284"/>
        <w:jc w:val="both"/>
        <w:rPr/>
      </w:pPr>
      <w:r w:rsidDel="00000000" w:rsidR="00000000" w:rsidRPr="00000000">
        <w:rPr>
          <w:rtl w:val="0"/>
        </w:rPr>
        <w:t xml:space="preserve">Both natural and planted forests can provide positive impacts in the economics of a country if sustainably managed, and also positively affect its social context and to environmental conservation. </w:t>
      </w:r>
    </w:p>
    <w:p w:rsidR="00000000" w:rsidDel="00000000" w:rsidP="00000000" w:rsidRDefault="00000000" w:rsidRPr="00000000" w14:paraId="0000005A">
      <w:pPr>
        <w:spacing w:after="0" w:line="240" w:lineRule="auto"/>
        <w:ind w:firstLine="284"/>
        <w:jc w:val="both"/>
        <w:rPr/>
      </w:pPr>
      <w:r w:rsidDel="00000000" w:rsidR="00000000" w:rsidRPr="00000000">
        <w:rPr>
          <w:rtl w:val="0"/>
        </w:rPr>
        <w:t xml:space="preserve">In terms of </w:t>
      </w:r>
      <w:r w:rsidDel="00000000" w:rsidR="00000000" w:rsidRPr="00000000">
        <w:rPr>
          <w:b w:val="1"/>
          <w:rtl w:val="0"/>
        </w:rPr>
        <w:t xml:space="preserve">economic impacts</w:t>
      </w:r>
      <w:r w:rsidDel="00000000" w:rsidR="00000000" w:rsidRPr="00000000">
        <w:rPr>
          <w:rtl w:val="0"/>
        </w:rPr>
        <w:t xml:space="preserve">, sustainable forest management in natural forests and plantations stimulates the formal economy, improves the national economy, and also generates taxes and tributes, which all together contribute to the development of the country. The share of planted forest-based industry in Brazil’s gross domestic product (GDP) rose 10.2% in 2020, totaling R$ 116.6 billion. This sector holds 22</w:t>
      </w:r>
      <w:r w:rsidDel="00000000" w:rsidR="00000000" w:rsidRPr="00000000">
        <w:rPr>
          <w:vertAlign w:val="superscript"/>
          <w:rtl w:val="0"/>
        </w:rPr>
        <w:t xml:space="preserve">nd </w:t>
      </w:r>
      <w:r w:rsidDel="00000000" w:rsidR="00000000" w:rsidRPr="00000000">
        <w:rPr>
          <w:rtl w:val="0"/>
        </w:rPr>
        <w:t xml:space="preserve">place in terms of its contribution to Brazil's GDP and generated R$12.1 billion in federal taxes and tributes, which corresponds to 0.9% of the total taxes collected in the country.</w:t>
      </w:r>
    </w:p>
    <w:p w:rsidR="00000000" w:rsidDel="00000000" w:rsidP="00000000" w:rsidRDefault="00000000" w:rsidRPr="00000000" w14:paraId="0000005B">
      <w:pPr>
        <w:spacing w:after="0" w:line="240" w:lineRule="auto"/>
        <w:ind w:firstLine="284"/>
        <w:jc w:val="both"/>
        <w:rPr/>
      </w:pPr>
      <w:r w:rsidDel="00000000" w:rsidR="00000000" w:rsidRPr="00000000">
        <w:rPr>
          <w:rtl w:val="0"/>
        </w:rPr>
        <w:t xml:space="preserve">Sustainable forest management of natural forests and plantations plays a key role in positively impacting the </w:t>
      </w:r>
      <w:r w:rsidDel="00000000" w:rsidR="00000000" w:rsidRPr="00000000">
        <w:rPr>
          <w:b w:val="1"/>
          <w:rtl w:val="0"/>
        </w:rPr>
        <w:t xml:space="preserve">social context</w:t>
      </w:r>
      <w:r w:rsidDel="00000000" w:rsidR="00000000" w:rsidRPr="00000000">
        <w:rPr>
          <w:rtl w:val="0"/>
        </w:rPr>
        <w:t xml:space="preserve"> in its areas of influence. These activities generate jobs, training opportunities, and income outside the main economic and financial centers. Planted forest-based industries generated over 536,000 direct job posts and 1.5 million indirect jobs in 2020, and management of natural forests formally employed around 11,638 people in 2018. Meanwhile, the average per capita income in cities influenced by the planted forest-based sector was higher than in Brazil as a whole; the average in Brazil is slightly below R$ 30,000, compared with over R$ 50,000 in cities influenced by the sector. Besides the effects of job generation, forest-based companies also made direct investments in social and environmental initiatives in 2,256 cities in 2020. These initiatives represent around R$ 381 million in sociocultural projects, and also R$ 32 million in educational and training initiatives.</w:t>
      </w:r>
    </w:p>
    <w:p w:rsidR="00000000" w:rsidDel="00000000" w:rsidP="00000000" w:rsidRDefault="00000000" w:rsidRPr="00000000" w14:paraId="0000005C">
      <w:pPr>
        <w:spacing w:after="0" w:line="240" w:lineRule="auto"/>
        <w:ind w:firstLine="284"/>
        <w:jc w:val="both"/>
        <w:rPr>
          <w:b w:val="1"/>
        </w:rPr>
      </w:pPr>
      <w:r w:rsidDel="00000000" w:rsidR="00000000" w:rsidRPr="00000000">
        <w:rPr>
          <w:rtl w:val="0"/>
        </w:rPr>
        <w:t xml:space="preserve">On the </w:t>
      </w:r>
      <w:r w:rsidDel="00000000" w:rsidR="00000000" w:rsidRPr="00000000">
        <w:rPr>
          <w:b w:val="1"/>
          <w:rtl w:val="0"/>
        </w:rPr>
        <w:t xml:space="preserve">environment side</w:t>
      </w:r>
      <w:r w:rsidDel="00000000" w:rsidR="00000000" w:rsidRPr="00000000">
        <w:rPr>
          <w:rtl w:val="0"/>
        </w:rPr>
        <w:t xml:space="preserve">, management of natural forests and plantations directly contributes to the conservation of environmental services such as carbon, water, and biodiversity in the long term. The planted areas in Brazil sequestered an estimated 1.9 billion tons of carbon dioxide equivalent (CO2eq) in 2020, and stored almost 2.6 billion tons of CO2eq in its 6 million hectares of natural vegetation set aside for conservation purposes. In terms of biodiversity, recent studies have identified that 5.800 species of fauna and flora were seen in areas pertaining to planted forest-based companies. Companies that plant trees also play an important role in restoring degraded lands. In 2020, the sector recovered 30,900 ha of degraded areas with native vegetation. Particularly with regard to sustainable management of natural forests, this activity is essential to ensure that the remaining natural forests are not subjected to illegal deforestation, and also to help eliminate land-grab schemes on public lands, which are major problems in Brazil. </w:t>
      </w:r>
      <w:r w:rsidDel="00000000" w:rsidR="00000000" w:rsidRPr="00000000">
        <w:rPr>
          <w:rtl w:val="0"/>
        </w:rPr>
      </w:r>
    </w:p>
    <w:p w:rsidR="00000000" w:rsidDel="00000000" w:rsidP="00000000" w:rsidRDefault="00000000" w:rsidRPr="00000000" w14:paraId="0000005D">
      <w:pPr>
        <w:spacing w:after="0" w:line="240" w:lineRule="auto"/>
        <w:jc w:val="both"/>
        <w:rPr>
          <w:b w:val="1"/>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748456" w:val="clear"/>
        <w:spacing w:after="0" w:before="0" w:line="240" w:lineRule="auto"/>
        <w:ind w:left="360" w:right="0" w:hanging="36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PEFC BRAZIL </w:t>
      </w:r>
    </w:p>
    <w:p w:rsidR="00000000" w:rsidDel="00000000" w:rsidP="00000000" w:rsidRDefault="00000000" w:rsidRPr="00000000" w14:paraId="0000005F">
      <w:pPr>
        <w:spacing w:after="0" w:line="240" w:lineRule="auto"/>
        <w:jc w:val="both"/>
        <w:rPr>
          <w:b w:val="1"/>
        </w:rPr>
      </w:pPr>
      <w:r w:rsidDel="00000000" w:rsidR="00000000" w:rsidRPr="00000000">
        <w:rPr>
          <w:rtl w:val="0"/>
        </w:rPr>
      </w:r>
    </w:p>
    <w:p w:rsidR="00000000" w:rsidDel="00000000" w:rsidP="00000000" w:rsidRDefault="00000000" w:rsidRPr="00000000" w14:paraId="00000060">
      <w:pPr>
        <w:spacing w:after="0" w:line="240" w:lineRule="auto"/>
        <w:jc w:val="both"/>
        <w:rPr>
          <w:b w:val="1"/>
        </w:rPr>
      </w:pPr>
      <w:r w:rsidDel="00000000" w:rsidR="00000000" w:rsidRPr="00000000">
        <w:rPr>
          <w:b w:val="1"/>
          <w:rtl w:val="0"/>
        </w:rPr>
        <w:t xml:space="preserve">Organizational Structure</w:t>
      </w:r>
    </w:p>
    <w:p w:rsidR="00000000" w:rsidDel="00000000" w:rsidP="00000000" w:rsidRDefault="00000000" w:rsidRPr="00000000" w14:paraId="00000061">
      <w:pPr>
        <w:spacing w:after="0" w:line="240" w:lineRule="auto"/>
        <w:ind w:firstLine="360"/>
        <w:jc w:val="both"/>
        <w:rPr/>
      </w:pPr>
      <w:r w:rsidDel="00000000" w:rsidR="00000000" w:rsidRPr="00000000">
        <w:rPr>
          <w:rtl w:val="0"/>
        </w:rPr>
        <w:t xml:space="preserve">The IPMF’s governance has focused on providing opportunities for engaging for stakeholders from all fields of interest while maintaining a simplified structure and approach that allows dynamic operations in the implementation of its working plans.  </w:t>
      </w:r>
    </w:p>
    <w:p w:rsidR="00000000" w:rsidDel="00000000" w:rsidP="00000000" w:rsidRDefault="00000000" w:rsidRPr="00000000" w14:paraId="00000062">
      <w:pPr>
        <w:spacing w:after="0" w:line="240" w:lineRule="auto"/>
        <w:ind w:firstLine="360"/>
        <w:jc w:val="both"/>
        <w:rPr/>
      </w:pPr>
      <w:r w:rsidDel="00000000" w:rsidR="00000000" w:rsidRPr="00000000">
        <w:rPr>
          <w:rtl w:val="0"/>
        </w:rPr>
        <w:t xml:space="preserve">IPMF governance is composed of administrative and deliberative bodies with competences defined in the Institute’s Statutes. Its commitments around diversity of interests, gender, and other issues in its decision-making instances are also part of the Statutes (see CHAPTER VI, Article 24). </w:t>
      </w:r>
    </w:p>
    <w:p w:rsidR="00000000" w:rsidDel="00000000" w:rsidP="00000000" w:rsidRDefault="00000000" w:rsidRPr="00000000" w14:paraId="00000063">
      <w:pPr>
        <w:spacing w:after="0" w:line="240" w:lineRule="auto"/>
        <w:ind w:firstLine="360"/>
        <w:jc w:val="both"/>
        <w:rPr/>
      </w:pPr>
      <w:r w:rsidDel="00000000" w:rsidR="00000000" w:rsidRPr="00000000">
        <w:rPr>
          <w:rtl w:val="0"/>
        </w:rPr>
        <w:t xml:space="preserve">The deliberative, administrative, and advisory bodies of IPMF are: </w:t>
      </w:r>
    </w:p>
    <w:p w:rsidR="00000000" w:rsidDel="00000000" w:rsidP="00000000" w:rsidRDefault="00000000" w:rsidRPr="00000000" w14:paraId="00000064">
      <w:pPr>
        <w:spacing w:after="0" w:line="240" w:lineRule="auto"/>
        <w:ind w:firstLine="360"/>
        <w:jc w:val="both"/>
        <w:rPr/>
      </w:pP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General Assembly</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 – The superior governance body formed by all the members which gathers together once yearly to appoint members of the Board of Directors, promote any changes in the Statute, and deliberate on the exclusion of current non-complying members. </w:t>
      </w:r>
    </w:p>
    <w:p w:rsidR="00000000" w:rsidDel="00000000" w:rsidP="00000000" w:rsidRDefault="00000000" w:rsidRPr="00000000" w14:paraId="00000066">
      <w:pPr>
        <w:spacing w:after="0" w:line="240" w:lineRule="auto"/>
        <w:jc w:val="both"/>
        <w:rPr/>
      </w:pP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Board of Directors</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 – Collegiate body that manages the superior resolution of IPMF. Its main responsibilities are: 1) to define the strategic and operational program of IPMF; 2) to approve the work plan and its associated budget, as well as constant monitoring of its implementation; 3) to approve initiatives and instruments for delivering on the mission and objectives, together with its necessary resources; 4) to approve operational rules and the documents that compose the normative framework; and others specified in Chapter VI, article 36.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Executive Board – </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Operational body composed of an executive director and other staff of the IPMF. It is responsible for carrying out the strategy and work program, and also for assisting the Board of Directors with proposals, analyses, and information necessary for its decisions.</w:t>
      </w:r>
      <w:r w:rsidDel="00000000" w:rsidR="00000000" w:rsidRPr="00000000">
        <w:rPr>
          <w:rtl w:val="0"/>
        </w:rPr>
      </w:r>
    </w:p>
    <w:p w:rsidR="00000000" w:rsidDel="00000000" w:rsidP="00000000" w:rsidRDefault="00000000" w:rsidRPr="00000000" w14:paraId="0000006A">
      <w:pPr>
        <w:spacing w:after="0" w:line="240" w:lineRule="auto"/>
        <w:jc w:val="both"/>
        <w:rPr>
          <w:b w:val="1"/>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Scientific and Academic Council</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 - This body is designed to technically and scientifically advise the IPMF whenever demanded by the Board of Directors or the Executive Board. Besides this technical advisory role, the Council is also responsible for developing a framework to monitor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impact of IPMF actions, programs, and strategic projects. </w:t>
      </w:r>
    </w:p>
    <w:p w:rsidR="00000000" w:rsidDel="00000000" w:rsidP="00000000" w:rsidRDefault="00000000" w:rsidRPr="00000000" w14:paraId="0000006C">
      <w:pPr>
        <w:spacing w:after="0" w:line="240" w:lineRule="auto"/>
        <w:jc w:val="both"/>
        <w:rPr/>
      </w:pPr>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Fiscal Council – </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This body is responsible for the accountability and financial matters of the IPMF, for evaluating and approving the external audit results, as well as for ensuring that administrative issues are properly addressed.</w:t>
      </w: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Thematic Committees</w:t>
      </w: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 - the Board of Directors and the Executive Board may create these advisory committees on a temporary or permanent basis, with the general objective of providing technical guidance on a specific issue or work area of the IPMF. These Committees are not deliberative, however, and their recommendations are always subject to Board of Directors approval. </w:t>
      </w:r>
    </w:p>
    <w:p w:rsidR="00000000" w:rsidDel="00000000" w:rsidP="00000000" w:rsidRDefault="00000000" w:rsidRPr="00000000" w14:paraId="00000070">
      <w:pPr>
        <w:spacing w:after="0" w:line="240" w:lineRule="auto"/>
        <w:ind w:left="360" w:firstLine="0"/>
        <w:jc w:val="both"/>
        <w:rPr/>
      </w:pPr>
      <w:r w:rsidDel="00000000" w:rsidR="00000000" w:rsidRPr="00000000">
        <w:rPr>
          <w:rtl w:val="0"/>
        </w:rPr>
      </w:r>
    </w:p>
    <w:p w:rsidR="00000000" w:rsidDel="00000000" w:rsidP="00000000" w:rsidRDefault="00000000" w:rsidRPr="00000000" w14:paraId="00000071">
      <w:pPr>
        <w:spacing w:after="0" w:line="240" w:lineRule="auto"/>
        <w:jc w:val="both"/>
        <w:rPr>
          <w:b w:val="1"/>
        </w:rPr>
      </w:pPr>
      <w:r w:rsidDel="00000000" w:rsidR="00000000" w:rsidRPr="00000000">
        <w:rPr>
          <w:b w:val="1"/>
          <w:rtl w:val="0"/>
        </w:rPr>
        <w:t xml:space="preserve">Normative Structure</w:t>
      </w:r>
    </w:p>
    <w:p w:rsidR="00000000" w:rsidDel="00000000" w:rsidP="00000000" w:rsidRDefault="00000000" w:rsidRPr="00000000" w14:paraId="00000072">
      <w:pPr>
        <w:spacing w:after="0" w:line="240" w:lineRule="auto"/>
        <w:ind w:firstLine="426"/>
        <w:jc w:val="both"/>
        <w:rPr/>
      </w:pPr>
      <w:r w:rsidDel="00000000" w:rsidR="00000000" w:rsidRPr="00000000">
        <w:rPr>
          <w:rtl w:val="0"/>
        </w:rPr>
        <w:t xml:space="preserve">The normative framework of the PEFC Brazil system is composed of the following normative documents, as set out in LM 01.01 – List of Documents:</w:t>
      </w:r>
    </w:p>
    <w:p w:rsidR="00000000" w:rsidDel="00000000" w:rsidP="00000000" w:rsidRDefault="00000000" w:rsidRPr="00000000" w14:paraId="00000073">
      <w:pPr>
        <w:spacing w:after="0" w:line="240" w:lineRule="auto"/>
        <w:jc w:val="both"/>
        <w:rPr/>
      </w:pPr>
      <w:r w:rsidDel="00000000" w:rsidR="00000000" w:rsidRPr="00000000">
        <w:rPr>
          <w:rtl w:val="0"/>
        </w:rPr>
      </w:r>
    </w:p>
    <w:tbl>
      <w:tblPr>
        <w:tblStyle w:val="Table4"/>
        <w:tblW w:w="8472.0" w:type="dxa"/>
        <w:jc w:val="left"/>
        <w:tblInd w:w="0.0" w:type="dxa"/>
        <w:tblLayout w:type="fixed"/>
        <w:tblLook w:val="0400"/>
      </w:tblPr>
      <w:tblGrid>
        <w:gridCol w:w="959"/>
        <w:gridCol w:w="992"/>
        <w:gridCol w:w="6521"/>
        <w:tblGridChange w:id="0">
          <w:tblGrid>
            <w:gridCol w:w="959"/>
            <w:gridCol w:w="992"/>
            <w:gridCol w:w="6521"/>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aeaaaa" w:val="clear"/>
            <w:tcMar>
              <w:top w:w="0.0" w:type="dxa"/>
              <w:left w:w="108.0" w:type="dxa"/>
              <w:bottom w:w="0.0" w:type="dxa"/>
              <w:right w:w="108.0" w:type="dxa"/>
            </w:tcMar>
            <w:vAlign w:val="center"/>
          </w:tcPr>
          <w:p w:rsidR="00000000" w:rsidDel="00000000" w:rsidP="00000000" w:rsidRDefault="00000000" w:rsidRPr="00000000" w14:paraId="00000074">
            <w:pPr>
              <w:spacing w:after="6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Document from the PEFC Brazil Management System</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eaaaa" w:val="clear"/>
            <w:tcMar>
              <w:top w:w="0.0" w:type="dxa"/>
              <w:left w:w="108.0" w:type="dxa"/>
              <w:bottom w:w="0.0" w:type="dxa"/>
              <w:right w:w="108.0" w:type="dxa"/>
            </w:tcMar>
            <w:vAlign w:val="center"/>
          </w:tcPr>
          <w:p w:rsidR="00000000" w:rsidDel="00000000" w:rsidP="00000000" w:rsidRDefault="00000000" w:rsidRPr="00000000" w14:paraId="00000077">
            <w:pPr>
              <w:spacing w:after="60" w:lineRule="auto"/>
              <w:jc w:val="center"/>
              <w:rPr>
                <w:rFonts w:ascii="Times New Roman" w:cs="Times New Roman" w:eastAsia="Times New Roman" w:hAnsi="Times New Roman"/>
                <w:b w:val="1"/>
                <w:sz w:val="24"/>
                <w:szCs w:val="24"/>
              </w:rPr>
            </w:pPr>
            <w:r w:rsidDel="00000000" w:rsidR="00000000" w:rsidRPr="00000000">
              <w:rPr>
                <w:rFonts w:ascii="Calibri" w:cs="Calibri" w:eastAsia="Calibri" w:hAnsi="Calibri"/>
                <w:b w:val="1"/>
                <w:color w:val="000000"/>
                <w:sz w:val="24"/>
                <w:szCs w:val="24"/>
                <w:rtl w:val="0"/>
              </w:rPr>
              <w:t xml:space="preserve">Code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eaaaa" w:val="clear"/>
            <w:tcMar>
              <w:top w:w="0.0" w:type="dxa"/>
              <w:left w:w="108.0" w:type="dxa"/>
              <w:bottom w:w="0.0" w:type="dxa"/>
              <w:right w:w="108.0" w:type="dxa"/>
            </w:tcMar>
            <w:vAlign w:val="center"/>
          </w:tcPr>
          <w:p w:rsidR="00000000" w:rsidDel="00000000" w:rsidP="00000000" w:rsidRDefault="00000000" w:rsidRPr="00000000" w14:paraId="00000078">
            <w:pPr>
              <w:spacing w:after="60" w:lineRule="auto"/>
              <w:jc w:val="center"/>
              <w:rPr>
                <w:rFonts w:ascii="Times New Roman" w:cs="Times New Roman" w:eastAsia="Times New Roman" w:hAnsi="Times New Roman"/>
                <w:b w:val="1"/>
                <w:sz w:val="24"/>
                <w:szCs w:val="24"/>
              </w:rPr>
            </w:pPr>
            <w:r w:rsidDel="00000000" w:rsidR="00000000" w:rsidRPr="00000000">
              <w:rPr>
                <w:rFonts w:ascii="Calibri" w:cs="Calibri" w:eastAsia="Calibri" w:hAnsi="Calibri"/>
                <w:b w:val="1"/>
                <w:color w:val="000000"/>
                <w:sz w:val="24"/>
                <w:szCs w:val="24"/>
                <w:rtl w:val="0"/>
              </w:rPr>
              <w:t xml:space="preserve">Version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eaaaa" w:val="clear"/>
            <w:tcMar>
              <w:top w:w="0.0" w:type="dxa"/>
              <w:left w:w="108.0" w:type="dxa"/>
              <w:bottom w:w="0.0" w:type="dxa"/>
              <w:right w:w="108.0" w:type="dxa"/>
            </w:tcMar>
            <w:vAlign w:val="center"/>
          </w:tcPr>
          <w:p w:rsidR="00000000" w:rsidDel="00000000" w:rsidP="00000000" w:rsidRDefault="00000000" w:rsidRPr="00000000" w14:paraId="00000079">
            <w:pPr>
              <w:spacing w:after="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Document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7A">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LM 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7B">
            <w:pPr>
              <w:spacing w:after="6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7C">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List of current documents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7D">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SG 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7E">
            <w:pPr>
              <w:spacing w:after="6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7F">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Procedure for drafting and managing documents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80">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SG 02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81">
            <w:pPr>
              <w:spacing w:after="6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82">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Requirements for certifying bodies auditing forest management and chain of custody</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83">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SG 03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84">
            <w:pPr>
              <w:spacing w:after="6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85">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Procedure for issuing licenses for use of PEFC trademarks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86">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SG 04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87">
            <w:pPr>
              <w:spacing w:after="6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88">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Procedures for addressing disputes and complaints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89">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SG 05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8A">
            <w:pPr>
              <w:spacing w:after="6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8B">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Requirements for group certification</w:t>
            </w:r>
            <w:r w:rsidDel="00000000" w:rsidR="00000000" w:rsidRPr="00000000">
              <w:rPr>
                <w:rtl w:val="0"/>
              </w:rPr>
            </w:r>
          </w:p>
        </w:tc>
      </w:tr>
    </w:tbl>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5"/>
        <w:tblW w:w="8472.0" w:type="dxa"/>
        <w:jc w:val="left"/>
        <w:tblInd w:w="0.0" w:type="dxa"/>
        <w:tblLayout w:type="fixed"/>
        <w:tblLook w:val="0400"/>
      </w:tblPr>
      <w:tblGrid>
        <w:gridCol w:w="2943"/>
        <w:gridCol w:w="5529"/>
        <w:tblGridChange w:id="0">
          <w:tblGrid>
            <w:gridCol w:w="2943"/>
            <w:gridCol w:w="5529"/>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eaaaa" w:val="clear"/>
            <w:tcMar>
              <w:top w:w="0.0" w:type="dxa"/>
              <w:left w:w="108.0" w:type="dxa"/>
              <w:bottom w:w="0.0" w:type="dxa"/>
              <w:right w:w="108.0" w:type="dxa"/>
            </w:tcMar>
          </w:tcPr>
          <w:p w:rsidR="00000000" w:rsidDel="00000000" w:rsidP="00000000" w:rsidRDefault="00000000" w:rsidRPr="00000000" w14:paraId="0000008D">
            <w:pPr>
              <w:spacing w:after="6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sz w:val="24"/>
                <w:szCs w:val="24"/>
                <w:rtl w:val="0"/>
              </w:rPr>
              <w:t xml:space="preserve">ABNT Brazil: standards and documents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eaaaa" w:val="clear"/>
            <w:tcMar>
              <w:top w:w="0.0" w:type="dxa"/>
              <w:left w:w="108.0" w:type="dxa"/>
              <w:bottom w:w="0.0" w:type="dxa"/>
              <w:right w:w="108.0" w:type="dxa"/>
            </w:tcMar>
          </w:tcPr>
          <w:p w:rsidR="00000000" w:rsidDel="00000000" w:rsidP="00000000" w:rsidRDefault="00000000" w:rsidRPr="00000000" w14:paraId="0000008F">
            <w:pPr>
              <w:spacing w:after="6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Code : Version</w:t>
            </w:r>
          </w:p>
        </w:tc>
        <w:tc>
          <w:tcPr>
            <w:tcBorders>
              <w:top w:color="000000" w:space="0" w:sz="4" w:val="single"/>
              <w:left w:color="000000" w:space="0" w:sz="4" w:val="single"/>
              <w:bottom w:color="000000" w:space="0" w:sz="4" w:val="single"/>
              <w:right w:color="000000" w:space="0" w:sz="4" w:val="single"/>
            </w:tcBorders>
            <w:shd w:fill="aeaaaa" w:val="clear"/>
          </w:tcPr>
          <w:p w:rsidR="00000000" w:rsidDel="00000000" w:rsidP="00000000" w:rsidRDefault="00000000" w:rsidRPr="00000000" w14:paraId="00000090">
            <w:pPr>
              <w:spacing w:after="6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Document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1">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ABNT ISO/IEC Guide 2</w:t>
            </w:r>
            <w:r w:rsidDel="00000000" w:rsidR="00000000" w:rsidRPr="00000000">
              <w:rPr>
                <w:rFonts w:ascii="Arial" w:cs="Arial" w:eastAsia="Arial" w:hAnsi="Arial"/>
                <w:color w:val="00000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2">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Normalization and related activities: General terminology</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93">
            <w:pPr>
              <w:spacing w:after="60" w:line="240" w:lineRule="auto"/>
              <w:rPr>
                <w:rFonts w:ascii="Calibri" w:cs="Calibri" w:eastAsia="Calibri" w:hAnsi="Calibri"/>
                <w:color w:val="000000"/>
                <w:sz w:val="24"/>
                <w:szCs w:val="24"/>
              </w:rPr>
            </w:pPr>
            <w:bookmarkStart w:colFirst="0" w:colLast="0" w:name="_heading=h.gjdgxs" w:id="0"/>
            <w:bookmarkEnd w:id="0"/>
            <w:r w:rsidDel="00000000" w:rsidR="00000000" w:rsidRPr="00000000">
              <w:rPr>
                <w:rFonts w:ascii="Calibri" w:cs="Calibri" w:eastAsia="Calibri" w:hAnsi="Calibri"/>
                <w:color w:val="000000"/>
                <w:sz w:val="24"/>
                <w:szCs w:val="24"/>
                <w:rtl w:val="0"/>
              </w:rPr>
              <w:t xml:space="preserve">ABNT NBR ISO/IEC 17021-1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94">
            <w:pPr>
              <w:spacing w:after="60" w:line="24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Avaliação de conformidade – Requisitos para organismos que fornecem auditoria e certificação de sistemas de gestão Parte 1: requisitos</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95">
            <w:pPr>
              <w:spacing w:after="60" w:line="24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ABNT NBR ISO/IEC 17065</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96">
            <w:pPr>
              <w:spacing w:after="60" w:line="24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Avaliação da conformidade - Requisitos para organismos de certificação de produtos, processos e serviços</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97">
            <w:pPr>
              <w:spacing w:after="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ABNT NBR 14789 </w:t>
            </w:r>
            <w:r w:rsidDel="00000000" w:rsidR="00000000" w:rsidRPr="00000000">
              <w:rPr>
                <w:rtl w:val="0"/>
              </w:rPr>
            </w:r>
          </w:p>
          <w:p w:rsidR="00000000" w:rsidDel="00000000" w:rsidP="00000000" w:rsidRDefault="00000000" w:rsidRPr="00000000" w14:paraId="00000098">
            <w:pPr>
              <w:spacing w:after="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99">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Forest management – Principles, criteria, and indicators for planted forests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9A">
            <w:pPr>
              <w:spacing w:after="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ABNT NBR 15789 </w:t>
            </w:r>
            <w:r w:rsidDel="00000000" w:rsidR="00000000" w:rsidRPr="00000000">
              <w:rPr>
                <w:rtl w:val="0"/>
              </w:rPr>
            </w:r>
          </w:p>
          <w:p w:rsidR="00000000" w:rsidDel="00000000" w:rsidP="00000000" w:rsidRDefault="00000000" w:rsidRPr="00000000" w14:paraId="0000009B">
            <w:pPr>
              <w:spacing w:after="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9C">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Forest management – Principles, criteria, and indicators for native forests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9D">
            <w:pPr>
              <w:spacing w:after="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ABNT NBR 16789 </w:t>
            </w:r>
            <w:r w:rsidDel="00000000" w:rsidR="00000000" w:rsidRPr="00000000">
              <w:rPr>
                <w:rtl w:val="0"/>
              </w:rPr>
            </w:r>
          </w:p>
          <w:p w:rsidR="00000000" w:rsidDel="00000000" w:rsidP="00000000" w:rsidRDefault="00000000" w:rsidRPr="00000000" w14:paraId="0000009E">
            <w:pPr>
              <w:spacing w:after="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9F">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Forest management – Guidelines for implementing ABNT NBR 14789</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A0">
            <w:pPr>
              <w:spacing w:after="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ABNT NBR 15753 </w:t>
            </w:r>
            <w:r w:rsidDel="00000000" w:rsidR="00000000" w:rsidRPr="00000000">
              <w:rPr>
                <w:rtl w:val="0"/>
              </w:rPr>
            </w:r>
          </w:p>
          <w:p w:rsidR="00000000" w:rsidDel="00000000" w:rsidP="00000000" w:rsidRDefault="00000000" w:rsidRPr="00000000" w14:paraId="000000A1">
            <w:pPr>
              <w:spacing w:after="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A2">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Forest management – Guidelines for implementing ABNT NBR 15789</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A3">
            <w:pPr>
              <w:spacing w:after="6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ABNT NBR 14793 </w:t>
            </w:r>
            <w:r w:rsidDel="00000000" w:rsidR="00000000" w:rsidRPr="00000000">
              <w:rPr>
                <w:rtl w:val="0"/>
              </w:rPr>
            </w:r>
          </w:p>
          <w:p w:rsidR="00000000" w:rsidDel="00000000" w:rsidP="00000000" w:rsidRDefault="00000000" w:rsidRPr="00000000" w14:paraId="000000A4">
            <w:pPr>
              <w:spacing w:after="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A5">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Guidelines for forest auditing - Auditing procedures - Qualification criteria for forest auditors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A6">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ABNT NBR ISO 19011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A7">
            <w:pPr>
              <w:spacing w:after="6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4"/>
                <w:szCs w:val="24"/>
                <w:rtl w:val="0"/>
              </w:rPr>
              <w:t xml:space="preserve">Guidelines for management system audits</w:t>
            </w:r>
            <w:r w:rsidDel="00000000" w:rsidR="00000000" w:rsidRPr="00000000">
              <w:rPr>
                <w:rtl w:val="0"/>
              </w:rPr>
            </w:r>
          </w:p>
        </w:tc>
      </w:tr>
    </w:tbl>
    <w:p w:rsidR="00000000" w:rsidDel="00000000" w:rsidP="00000000" w:rsidRDefault="00000000" w:rsidRPr="00000000" w14:paraId="000000A8">
      <w:pPr>
        <w:spacing w:after="0" w:line="240" w:lineRule="auto"/>
        <w:jc w:val="both"/>
        <w:rPr>
          <w:b w:val="1"/>
        </w:rPr>
      </w:pPr>
      <w:r w:rsidDel="00000000" w:rsidR="00000000" w:rsidRPr="00000000">
        <w:rPr>
          <w:rtl w:val="0"/>
        </w:rPr>
      </w:r>
    </w:p>
    <w:tbl>
      <w:tblPr>
        <w:tblStyle w:val="Table6"/>
        <w:tblW w:w="8472.0" w:type="dxa"/>
        <w:jc w:val="left"/>
        <w:tblInd w:w="0.0" w:type="dxa"/>
        <w:tblLayout w:type="fixed"/>
        <w:tblLook w:val="0400"/>
      </w:tblPr>
      <w:tblGrid>
        <w:gridCol w:w="2235"/>
        <w:gridCol w:w="4961"/>
        <w:gridCol w:w="1276"/>
        <w:tblGridChange w:id="0">
          <w:tblGrid>
            <w:gridCol w:w="2235"/>
            <w:gridCol w:w="4961"/>
            <w:gridCol w:w="1276"/>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aeaaaa" w:val="clear"/>
            <w:tcMar>
              <w:top w:w="0.0" w:type="dxa"/>
              <w:left w:w="108.0" w:type="dxa"/>
              <w:bottom w:w="0.0" w:type="dxa"/>
              <w:right w:w="108.0" w:type="dxa"/>
            </w:tcMar>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PEFC International Documents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eaaaa" w:val="clear"/>
            <w:tcMar>
              <w:top w:w="0.0" w:type="dxa"/>
              <w:left w:w="108.0" w:type="dxa"/>
              <w:bottom w:w="0.0" w:type="dxa"/>
              <w:right w:w="108.0" w:type="dxa"/>
            </w:tcMar>
            <w:vAlign w:val="cente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Code : Version</w:t>
            </w:r>
          </w:p>
        </w:tc>
        <w:tc>
          <w:tcPr>
            <w:tcBorders>
              <w:top w:color="000000" w:space="0" w:sz="4" w:val="single"/>
              <w:left w:color="000000" w:space="0" w:sz="4" w:val="single"/>
              <w:bottom w:color="000000" w:space="0" w:sz="4" w:val="single"/>
              <w:right w:color="000000" w:space="0" w:sz="4" w:val="single"/>
            </w:tcBorders>
            <w:shd w:fill="aeaaaa" w:val="clear"/>
            <w:vAlign w:val="cente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Document</w:t>
            </w:r>
          </w:p>
        </w:tc>
        <w:tc>
          <w:tcPr>
            <w:tcBorders>
              <w:top w:color="000000" w:space="0" w:sz="4" w:val="single"/>
              <w:left w:color="000000" w:space="0" w:sz="4" w:val="single"/>
              <w:bottom w:color="000000" w:space="0" w:sz="4" w:val="single"/>
              <w:right w:color="000000" w:space="0" w:sz="4" w:val="single"/>
            </w:tcBorders>
            <w:shd w:fill="aeaaaa" w:val="clear"/>
            <w:tcMar>
              <w:top w:w="0.0" w:type="dxa"/>
              <w:left w:w="108.0" w:type="dxa"/>
              <w:bottom w:w="0.0" w:type="dxa"/>
              <w:right w:w="108.0" w:type="dxa"/>
            </w:tcMar>
            <w:vAlign w:val="cente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Effective date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ST 1001:2017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Standard Setting -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11/2017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ST 1002:2018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Group Forest Management Certification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11/2018</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ST 1003:2018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Sustainable Forest Management - Requirements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11/2018</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ST 2001:2020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Trademarks Rules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01/2020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ST 2002:2020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Chain of Custody of Forest and Tree Based Products -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01/2020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ST 2003-2020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Requirements for Certification Bodies Conducting PEFC Chain of Custody Certification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01/2020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GD 1001:2008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Structure of the PEFC technical documentation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09/2008</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GD 1002:2008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Acceptance of PEFC members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10/2008</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GD 1003:2009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Council technical documents development procedures - requirements </w:t>
              <w:tab/>
              <w:t xml:space="preserve">new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01/2009</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GD 1004:2009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Administration of PEFC scheme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10/2009</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GD 1005:2012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Issuance of PEFC Logo Usage Licenses by the PEFC Council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11/2012</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GD 1007:2017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Endorsement and Mutual Recognition of National Schemes and their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11/2017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GD 1008:2019</w:t>
              <w:br w:type="textWrapping"/>
              <w:br w:type="textWrapp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Information and</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Registration System –</w:t>
            </w: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Data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12/2019</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GD 1009:2018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Nomination and Election Procedures for the PEFC Council Board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10/2018</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GD 2001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Chain of Custody of Forest-Based Products – Guidance for Use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05/2017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-Annex 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Certification and Accreditation Procedures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10/2007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PEFC-Annex 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Terms and Definitions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10/2006</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PEFC-GL 2/2011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Council Minimum Requirements Checklist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01/2008</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PEFC-GL 5/2006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Interpretation of the PEFC Council Requirements for Consensus in the Standard Setting Process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10/2006</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PEFC-GL 7/2007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Council procedures for the investigation and resolution of complaints and Appeals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06/2007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GLI 4/2007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CODING SYSTEM </w:t>
              <w:br w:type="textWrapping"/>
              <w:br w:type="textWrapp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F">
            <w:pPr>
              <w:rPr>
                <w:sz w:val="2"/>
                <w:szCs w:val="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0">
            <w:pPr>
              <w:rPr>
                <w:sz w:val="2"/>
                <w:szCs w:val="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COVID-19: Chain of custody auditing guidance for certification bodies and certified companies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04/2021</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3">
            <w:pPr>
              <w:rPr>
                <w:sz w:val="2"/>
                <w:szCs w:val="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COVID-19: SFM auditing guidance for certification bodies and certified companies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12/2020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6">
            <w:pPr>
              <w:rPr>
                <w:sz w:val="2"/>
                <w:szCs w:val="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Chain of Custody Pool of Experts Programme – Guidelines for the</w:t>
            </w: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development of trainings provided by the Pool of Experts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12/2020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A">
            <w:pPr>
              <w:rPr>
                <w:sz w:val="2"/>
                <w:szCs w:val="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Logo Usage Toolkit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C">
            <w:pPr>
              <w:rPr>
                <w:sz w:val="2"/>
                <w:szCs w:val="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D">
            <w:pPr>
              <w:rPr>
                <w:sz w:val="2"/>
                <w:szCs w:val="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PEFC Product Categories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01/2022</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Technical document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Accepted abbreviation and translations of the PEFC International</w:t>
            </w: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chain of custody claims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04/2021</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Technical document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Template: Outsourcing Agreement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12/2020</w:t>
            </w:r>
            <w:r w:rsidDel="00000000" w:rsidR="00000000" w:rsidRPr="00000000">
              <w:rPr>
                <w:rtl w:val="0"/>
              </w:rPr>
            </w:r>
          </w:p>
        </w:tc>
      </w:tr>
    </w:tbl>
    <w:p w:rsidR="00000000" w:rsidDel="00000000" w:rsidP="00000000" w:rsidRDefault="00000000" w:rsidRPr="00000000" w14:paraId="00000107">
      <w:pPr>
        <w:spacing w:after="0" w:line="240" w:lineRule="auto"/>
        <w:jc w:val="both"/>
        <w:rPr>
          <w:b w:val="1"/>
        </w:rPr>
      </w:pPr>
      <w:r w:rsidDel="00000000" w:rsidR="00000000" w:rsidRPr="00000000">
        <w:rPr>
          <w:rtl w:val="0"/>
        </w:rPr>
      </w:r>
    </w:p>
    <w:p w:rsidR="00000000" w:rsidDel="00000000" w:rsidP="00000000" w:rsidRDefault="00000000" w:rsidRPr="00000000" w14:paraId="0000010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748456" w:val="clear"/>
        <w:spacing w:after="0" w:before="0" w:line="240" w:lineRule="auto"/>
        <w:ind w:left="360" w:right="0" w:hanging="36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THE REVISION PROCESS 2019 – 2022</w:t>
      </w:r>
    </w:p>
    <w:p w:rsidR="00000000" w:rsidDel="00000000" w:rsidP="00000000" w:rsidRDefault="00000000" w:rsidRPr="00000000" w14:paraId="00000109">
      <w:pPr>
        <w:spacing w:after="0" w:line="240" w:lineRule="auto"/>
        <w:jc w:val="both"/>
        <w:rPr/>
      </w:pPr>
      <w:r w:rsidDel="00000000" w:rsidR="00000000" w:rsidRPr="00000000">
        <w:rPr>
          <w:rtl w:val="0"/>
        </w:rPr>
      </w:r>
    </w:p>
    <w:p w:rsidR="00000000" w:rsidDel="00000000" w:rsidP="00000000" w:rsidRDefault="00000000" w:rsidRPr="00000000" w14:paraId="0000010A">
      <w:pPr>
        <w:spacing w:after="0" w:line="240" w:lineRule="auto"/>
        <w:ind w:firstLine="360"/>
        <w:jc w:val="both"/>
        <w:rPr/>
      </w:pPr>
      <w:r w:rsidDel="00000000" w:rsidR="00000000" w:rsidRPr="00000000">
        <w:rPr>
          <w:rtl w:val="0"/>
        </w:rPr>
        <w:t xml:space="preserve">The revision process of PEFC Brasil (formerly Cerflor) was carried out in 2 phases. </w:t>
      </w:r>
    </w:p>
    <w:p w:rsidR="00000000" w:rsidDel="00000000" w:rsidP="00000000" w:rsidRDefault="00000000" w:rsidRPr="00000000" w14:paraId="0000010B">
      <w:pPr>
        <w:spacing w:after="0" w:line="240" w:lineRule="auto"/>
        <w:ind w:firstLine="360"/>
        <w:jc w:val="both"/>
        <w:rPr/>
      </w:pPr>
      <w:r w:rsidDel="00000000" w:rsidR="00000000" w:rsidRPr="00000000">
        <w:rPr>
          <w:rtl w:val="0"/>
        </w:rPr>
        <w:t xml:space="preserve">During Phase 1, the revision focused on the two Sustainable Forest Management Standards for Plantations and Native Forests. This phase was carried out by ABNT, which is responsible for these two standards. At the time Phase 1 was carried out, INMETRO was still the manager of the system.</w:t>
      </w:r>
    </w:p>
    <w:p w:rsidR="00000000" w:rsidDel="00000000" w:rsidP="00000000" w:rsidRDefault="00000000" w:rsidRPr="00000000" w14:paraId="0000010C">
      <w:pPr>
        <w:spacing w:after="0" w:line="240" w:lineRule="auto"/>
        <w:ind w:firstLine="360"/>
        <w:jc w:val="both"/>
        <w:rPr/>
      </w:pPr>
      <w:r w:rsidDel="00000000" w:rsidR="00000000" w:rsidRPr="00000000">
        <w:rPr>
          <w:rtl w:val="0"/>
        </w:rPr>
        <w:t xml:space="preserve">ABNT has a set of internal rules that determines how the standards are developed and revised. These internal rules fulfill all the requirements set out in PEFC ST 1001:2017 - Standard Setting Requirements, as disposed in its respective PEFC Checklist in detail. </w:t>
      </w:r>
    </w:p>
    <w:p w:rsidR="00000000" w:rsidDel="00000000" w:rsidP="00000000" w:rsidRDefault="00000000" w:rsidRPr="00000000" w14:paraId="0000010D">
      <w:pPr>
        <w:spacing w:after="0" w:line="240" w:lineRule="auto"/>
        <w:ind w:firstLine="360"/>
        <w:jc w:val="both"/>
        <w:rPr/>
      </w:pPr>
      <w:r w:rsidDel="00000000" w:rsidR="00000000" w:rsidRPr="00000000">
        <w:rPr>
          <w:rtl w:val="0"/>
        </w:rPr>
        <w:t xml:space="preserve"> After the conclusion of the revision of the SFM standards and the approval of the transfer of Cerflor to IPMF, the Institute started Phase 2, which covered the revision of the remaining documents that compose PEFC Brazil’s normative framework.  </w:t>
      </w:r>
    </w:p>
    <w:p w:rsidR="00000000" w:rsidDel="00000000" w:rsidP="00000000" w:rsidRDefault="00000000" w:rsidRPr="00000000" w14:paraId="0000010E">
      <w:pPr>
        <w:spacing w:after="0" w:line="240" w:lineRule="auto"/>
        <w:ind w:firstLine="360"/>
        <w:jc w:val="both"/>
        <w:rPr/>
      </w:pPr>
      <w:r w:rsidDel="00000000" w:rsidR="00000000" w:rsidRPr="00000000">
        <w:rPr>
          <w:rtl w:val="0"/>
        </w:rPr>
        <w:t xml:space="preserve">Below is a brief overview of the 2 phases. For a full description of compliance with the PEFC Standard Setting requirements during the revision of the Sustainable Forest Management Standards, please refer to the PEFC Checklist for the respective standard, which also compiles the evidence of conformance for each requirement.</w:t>
      </w:r>
    </w:p>
    <w:p w:rsidR="00000000" w:rsidDel="00000000" w:rsidP="00000000" w:rsidRDefault="00000000" w:rsidRPr="00000000" w14:paraId="0000010F">
      <w:pPr>
        <w:spacing w:after="0" w:line="240" w:lineRule="auto"/>
        <w:ind w:firstLine="360"/>
        <w:jc w:val="both"/>
        <w:rPr/>
      </w:pPr>
      <w:r w:rsidDel="00000000" w:rsidR="00000000" w:rsidRPr="00000000">
        <w:rPr>
          <w:rtl w:val="0"/>
        </w:rPr>
      </w:r>
    </w:p>
    <w:p w:rsidR="00000000" w:rsidDel="00000000" w:rsidP="00000000" w:rsidRDefault="00000000" w:rsidRPr="00000000" w14:paraId="00000110">
      <w:pPr>
        <w:spacing w:after="0" w:line="240" w:lineRule="auto"/>
        <w:jc w:val="both"/>
        <w:rPr>
          <w:b w:val="1"/>
        </w:rPr>
      </w:pPr>
      <w:r w:rsidDel="00000000" w:rsidR="00000000" w:rsidRPr="00000000">
        <w:rPr>
          <w:b w:val="1"/>
          <w:rtl w:val="0"/>
        </w:rPr>
        <w:t xml:space="preserve">Phase 1 -Sustainable Forest Management Standards</w:t>
      </w:r>
    </w:p>
    <w:p w:rsidR="00000000" w:rsidDel="00000000" w:rsidP="00000000" w:rsidRDefault="00000000" w:rsidRPr="00000000" w14:paraId="00000111">
      <w:pPr>
        <w:spacing w:after="0" w:line="240" w:lineRule="auto"/>
        <w:ind w:firstLine="708"/>
        <w:jc w:val="both"/>
        <w:rPr/>
      </w:pPr>
      <w:r w:rsidDel="00000000" w:rsidR="00000000" w:rsidRPr="00000000">
        <w:rPr>
          <w:rtl w:val="0"/>
        </w:rPr>
        <w:t xml:space="preserve">The Special Commission on Forest Management Studies (ABNT/CEE-103) had its first meeting in 2019 on January 31, with 19 members present (see Annex A), and created the Planted Forests and Native Forests Working Groups (WG) to revise ABNT NBR 14789:2012 (</w:t>
      </w:r>
      <w:r w:rsidDel="00000000" w:rsidR="00000000" w:rsidRPr="00000000">
        <w:rPr>
          <w:i w:val="1"/>
          <w:rtl w:val="0"/>
        </w:rPr>
        <w:t xml:space="preserve">Manejo florestal sustentável - Princípios, critérios e indicadores para plantações florestais</w:t>
      </w:r>
      <w:r w:rsidDel="00000000" w:rsidR="00000000" w:rsidRPr="00000000">
        <w:rPr>
          <w:rtl w:val="0"/>
        </w:rPr>
        <w:t xml:space="preserve">) [Sustainable forest management - Principles, criteria, and indicators for native forests] and ABNT NBR 15789:2013 (</w:t>
      </w:r>
      <w:r w:rsidDel="00000000" w:rsidR="00000000" w:rsidRPr="00000000">
        <w:rPr>
          <w:i w:val="1"/>
          <w:rtl w:val="0"/>
        </w:rPr>
        <w:t xml:space="preserve">Manejo florestal sustentável - Princípios, critérios e indicadores para florestas nativas</w:t>
      </w:r>
      <w:r w:rsidDel="00000000" w:rsidR="00000000" w:rsidRPr="00000000">
        <w:rPr>
          <w:rtl w:val="0"/>
        </w:rPr>
        <w:t xml:space="preserve">) [Sustainable forest management - Principles, criteria, and indicators for native forests] in order to align them with the new guidance in PEFC ST 1003:2018 (Sustainable Forest Management – Requirements). </w:t>
      </w:r>
    </w:p>
    <w:p w:rsidR="00000000" w:rsidDel="00000000" w:rsidP="00000000" w:rsidRDefault="00000000" w:rsidRPr="00000000" w14:paraId="00000112">
      <w:pPr>
        <w:spacing w:after="0" w:line="240" w:lineRule="auto"/>
        <w:ind w:firstLine="708"/>
        <w:jc w:val="both"/>
        <w:rPr/>
      </w:pPr>
      <w:r w:rsidDel="00000000" w:rsidR="00000000" w:rsidRPr="00000000">
        <w:rPr>
          <w:rtl w:val="0"/>
        </w:rPr>
        <w:t xml:space="preserve">All the participants in ABNT/CEE-103 were invited to be part of the WGs, which held several meetings in 2019–2020, led by Érica Araújo Bortolazzo Fonseca and Sandra Susi A. Silva, who were designated as rapporteurs. </w:t>
      </w:r>
    </w:p>
    <w:p w:rsidR="00000000" w:rsidDel="00000000" w:rsidP="00000000" w:rsidRDefault="00000000" w:rsidRPr="00000000" w14:paraId="00000113">
      <w:pPr>
        <w:spacing w:after="0" w:line="240" w:lineRule="auto"/>
        <w:ind w:firstLine="708"/>
        <w:jc w:val="both"/>
        <w:rPr/>
      </w:pPr>
      <w:r w:rsidDel="00000000" w:rsidR="00000000" w:rsidRPr="00000000">
        <w:rPr>
          <w:rtl w:val="0"/>
        </w:rPr>
        <w:t xml:space="preserve">In the 5th meeting of 2020 for ABNT/CEE-103, which was held on November 6, 2020 with 23 members participating (see Annex B), the Draft Revisions for ABNT NBR 14789 and ABNT NBR 15789 developed by the WGs were presented and offered for national consultation for 60 days.    </w:t>
      </w:r>
    </w:p>
    <w:p w:rsidR="00000000" w:rsidDel="00000000" w:rsidP="00000000" w:rsidRDefault="00000000" w:rsidRPr="00000000" w14:paraId="00000114">
      <w:pPr>
        <w:spacing w:after="0" w:line="240" w:lineRule="auto"/>
        <w:ind w:firstLine="708"/>
        <w:jc w:val="both"/>
        <w:rPr/>
      </w:pPr>
      <w:r w:rsidDel="00000000" w:rsidR="00000000" w:rsidRPr="00000000">
        <w:rPr>
          <w:rtl w:val="0"/>
        </w:rPr>
        <w:t xml:space="preserve">These Draft Revisions circulated for national consultation from Nov/17//2020 to Jan/18/2021 (see Annex C). During the national consultation, the ABNT NBR 14789 Draft Revision received 20 recommendations, 14 of which were approved without restrictions, 4 approved with observations related to form, and 2 denied due to technical objections (see Annex D). The ABNT NBR 15789 Draft Revision received 24 recommendations, 19 of which were approved without restrictions, 4 approved with observations related to form, and 1 denied due to technical objections (see Annex E). </w:t>
      </w:r>
    </w:p>
    <w:p w:rsidR="00000000" w:rsidDel="00000000" w:rsidP="00000000" w:rsidRDefault="00000000" w:rsidRPr="00000000" w14:paraId="00000115">
      <w:pPr>
        <w:spacing w:after="0" w:line="240" w:lineRule="auto"/>
        <w:ind w:firstLine="708"/>
        <w:jc w:val="both"/>
        <w:rPr/>
      </w:pPr>
      <w:r w:rsidDel="00000000" w:rsidR="00000000" w:rsidRPr="00000000">
        <w:rPr>
          <w:rtl w:val="0"/>
        </w:rPr>
        <w:t xml:space="preserve">The special meeting of ABNT/CEE-103 to analyze the results of the national consultation on the Draft Revisions for ABNT NBR 14789 and ABNT NBR 15789 was held on Feb/26/2021, with 27 members participating (see Annex F). All the comments received were analyzed and the deliberations/alterations were agreed upon via consensus by the Commission. With the analysis complete, the Commission approved the ABNT NBR 14789 and ABNT NBR 15789 Draft Revisions for publication as Brazilian Standards, since a second national consultation was deemed unnecessary because the technical changes implemented did not change the requirements, only altering the texts to make them clearer and less subject to misinterpretation. </w:t>
      </w:r>
    </w:p>
    <w:p w:rsidR="00000000" w:rsidDel="00000000" w:rsidP="00000000" w:rsidRDefault="00000000" w:rsidRPr="00000000" w14:paraId="00000116">
      <w:pPr>
        <w:spacing w:after="0" w:line="240" w:lineRule="auto"/>
        <w:ind w:firstLine="708"/>
        <w:jc w:val="both"/>
        <w:rPr/>
      </w:pPr>
      <w:r w:rsidDel="00000000" w:rsidR="00000000" w:rsidRPr="00000000">
        <w:rPr>
          <w:rtl w:val="0"/>
        </w:rPr>
        <w:t xml:space="preserve">ABNT NBR 14789:2021 and ABNT NBR 15789:2021 were published on Mar/29/2021.  </w:t>
      </w:r>
    </w:p>
    <w:p w:rsidR="00000000" w:rsidDel="00000000" w:rsidP="00000000" w:rsidRDefault="00000000" w:rsidRPr="00000000" w14:paraId="00000117">
      <w:pPr>
        <w:spacing w:after="0" w:line="240" w:lineRule="auto"/>
        <w:jc w:val="both"/>
        <w:rPr>
          <w:b w:val="1"/>
        </w:rPr>
      </w:pPr>
      <w:r w:rsidDel="00000000" w:rsidR="00000000" w:rsidRPr="00000000">
        <w:rPr>
          <w:rtl w:val="0"/>
        </w:rPr>
      </w:r>
    </w:p>
    <w:p w:rsidR="00000000" w:rsidDel="00000000" w:rsidP="00000000" w:rsidRDefault="00000000" w:rsidRPr="00000000" w14:paraId="00000118">
      <w:pPr>
        <w:spacing w:after="0" w:line="240" w:lineRule="auto"/>
        <w:jc w:val="both"/>
        <w:rPr>
          <w:b w:val="1"/>
        </w:rPr>
      </w:pPr>
      <w:r w:rsidDel="00000000" w:rsidR="00000000" w:rsidRPr="00000000">
        <w:rPr>
          <w:b w:val="1"/>
          <w:rtl w:val="0"/>
        </w:rPr>
        <w:t xml:space="preserve">Phase 2 </w:t>
      </w:r>
    </w:p>
    <w:p w:rsidR="00000000" w:rsidDel="00000000" w:rsidP="00000000" w:rsidRDefault="00000000" w:rsidRPr="00000000" w14:paraId="00000119">
      <w:pPr>
        <w:spacing w:after="0" w:line="240" w:lineRule="auto"/>
        <w:jc w:val="both"/>
        <w:rPr/>
      </w:pPr>
      <w:r w:rsidDel="00000000" w:rsidR="00000000" w:rsidRPr="00000000">
        <w:rPr>
          <w:rtl w:val="0"/>
        </w:rPr>
        <w:tab/>
        <w:t xml:space="preserve">This phase covers the development of the PEFC Brazil management system and revision of all the other technical documentation that is part of its norms, except for the forest management standards, which were revised in Phase 1.</w:t>
      </w:r>
    </w:p>
    <w:p w:rsidR="00000000" w:rsidDel="00000000" w:rsidP="00000000" w:rsidRDefault="00000000" w:rsidRPr="00000000" w14:paraId="0000011A">
      <w:pPr>
        <w:spacing w:after="0" w:line="240" w:lineRule="auto"/>
        <w:ind w:firstLine="708"/>
        <w:jc w:val="both"/>
        <w:rPr/>
      </w:pPr>
      <w:r w:rsidDel="00000000" w:rsidR="00000000" w:rsidRPr="00000000">
        <w:rPr>
          <w:rtl w:val="0"/>
        </w:rPr>
        <w:t xml:space="preserve">To do so, in February 2022, immediately after the approval of PEFC General Assembly Postal Ballot 01-2022, the IPMF hired a team of 3 consultants to work together with the Institute to lead the system development and revision efforts.</w:t>
      </w:r>
    </w:p>
    <w:p w:rsidR="00000000" w:rsidDel="00000000" w:rsidP="00000000" w:rsidRDefault="00000000" w:rsidRPr="00000000" w14:paraId="0000011B">
      <w:pPr>
        <w:spacing w:after="0" w:line="240" w:lineRule="auto"/>
        <w:ind w:firstLine="708"/>
        <w:jc w:val="both"/>
        <w:rPr/>
      </w:pPr>
      <w:r w:rsidDel="00000000" w:rsidR="00000000" w:rsidRPr="00000000">
        <w:rPr>
          <w:rtl w:val="0"/>
        </w:rPr>
        <w:t xml:space="preserve">These consultants are professionals with over 10 years of experience in the area of forest certification, more specifically as forest management and chain of custody auditors. This team combines practical expertise in applying the Cerflor standards (for companies as well as certification bodies) with strong qualifications in the field of standardization and developing management systems.</w:t>
      </w:r>
    </w:p>
    <w:p w:rsidR="00000000" w:rsidDel="00000000" w:rsidP="00000000" w:rsidRDefault="00000000" w:rsidRPr="00000000" w14:paraId="0000011C">
      <w:pPr>
        <w:spacing w:after="0" w:line="240" w:lineRule="auto"/>
        <w:ind w:firstLine="708"/>
        <w:jc w:val="both"/>
        <w:rPr/>
      </w:pPr>
      <w:r w:rsidDel="00000000" w:rsidR="00000000" w:rsidRPr="00000000">
        <w:rPr>
          <w:rtl w:val="0"/>
        </w:rPr>
        <w:t xml:space="preserve">To assist, technically assess, and revise all the documents produced, on March 21, 2022 a Revision Committee was created, which included certification bodies, members of the IPMF Council, INMETRO, and PEFC Uruguay. This committee played a very important role throughout the process, especially because of the very experienced participants and the relevance of the institutions they represent. A highlight was the support of PEFC Uruguay, which was possible thanks to regional cooperation which has become stronger in Latin America. </w:t>
      </w:r>
    </w:p>
    <w:p w:rsidR="00000000" w:rsidDel="00000000" w:rsidP="00000000" w:rsidRDefault="00000000" w:rsidRPr="00000000" w14:paraId="0000011D">
      <w:pPr>
        <w:spacing w:after="0" w:line="240" w:lineRule="auto"/>
        <w:ind w:firstLine="708"/>
        <w:jc w:val="both"/>
        <w:rPr/>
      </w:pPr>
      <w:r w:rsidDel="00000000" w:rsidR="00000000" w:rsidRPr="00000000">
        <w:rPr>
          <w:rtl w:val="0"/>
        </w:rPr>
        <w:t xml:space="preserve">Committee members are as follows: </w:t>
      </w:r>
    </w:p>
    <w:p w:rsidR="00000000" w:rsidDel="00000000" w:rsidP="00000000" w:rsidRDefault="00000000" w:rsidRPr="00000000" w14:paraId="0000011E">
      <w:pPr>
        <w:spacing w:after="0" w:line="240" w:lineRule="auto"/>
        <w:ind w:firstLine="708"/>
        <w:jc w:val="both"/>
        <w:rPr/>
      </w:pPr>
      <w:r w:rsidDel="00000000" w:rsidR="00000000" w:rsidRPr="00000000">
        <w:rPr>
          <w:rtl w:val="0"/>
        </w:rPr>
      </w:r>
    </w:p>
    <w:tbl>
      <w:tblPr>
        <w:tblStyle w:val="Table7"/>
        <w:tblW w:w="864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51"/>
        <w:gridCol w:w="6693"/>
        <w:tblGridChange w:id="0">
          <w:tblGrid>
            <w:gridCol w:w="1951"/>
            <w:gridCol w:w="6693"/>
          </w:tblGrid>
        </w:tblGridChange>
      </w:tblGrid>
      <w:tr>
        <w:trPr>
          <w:cantSplit w:val="0"/>
          <w:tblHeader w:val="0"/>
        </w:trPr>
        <w:tc>
          <w:tcPr/>
          <w:p w:rsidR="00000000" w:rsidDel="00000000" w:rsidP="00000000" w:rsidRDefault="00000000" w:rsidRPr="00000000" w14:paraId="0000011F">
            <w:pPr>
              <w:jc w:val="both"/>
              <w:rPr/>
            </w:pPr>
            <w:r w:rsidDel="00000000" w:rsidR="00000000" w:rsidRPr="00000000">
              <w:rPr>
                <w:rtl w:val="0"/>
              </w:rPr>
              <w:t xml:space="preserve">IPMF</w:t>
            </w:r>
          </w:p>
        </w:tc>
        <w:tc>
          <w:tcPr/>
          <w:p w:rsidR="00000000" w:rsidDel="00000000" w:rsidP="00000000" w:rsidRDefault="00000000" w:rsidRPr="00000000" w14:paraId="0000012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Aline Tristão, Executive Secretary</w:t>
            </w:r>
          </w:p>
          <w:p w:rsidR="00000000" w:rsidDel="00000000" w:rsidP="00000000" w:rsidRDefault="00000000" w:rsidRPr="00000000" w14:paraId="0000012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Leonardo Ramos Martins (Suzano), Committee President</w:t>
            </w:r>
          </w:p>
          <w:p w:rsidR="00000000" w:rsidDel="00000000" w:rsidP="00000000" w:rsidRDefault="00000000" w:rsidRPr="00000000" w14:paraId="0000012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João Garzel (Paraná State University), Advisor</w:t>
            </w:r>
          </w:p>
          <w:p w:rsidR="00000000" w:rsidDel="00000000" w:rsidP="00000000" w:rsidRDefault="00000000" w:rsidRPr="00000000" w14:paraId="0000012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Maria Eduarda Carneiro, Advisor</w:t>
            </w:r>
          </w:p>
          <w:p w:rsidR="00000000" w:rsidDel="00000000" w:rsidP="00000000" w:rsidRDefault="00000000" w:rsidRPr="00000000" w14:paraId="000001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Fábio José de Paula (Eldorado), Advisor</w:t>
            </w:r>
          </w:p>
        </w:tc>
      </w:tr>
      <w:tr>
        <w:trPr>
          <w:cantSplit w:val="0"/>
          <w:tblHeader w:val="0"/>
        </w:trPr>
        <w:tc>
          <w:tcPr/>
          <w:p w:rsidR="00000000" w:rsidDel="00000000" w:rsidP="00000000" w:rsidRDefault="00000000" w:rsidRPr="00000000" w14:paraId="00000125">
            <w:pPr>
              <w:jc w:val="both"/>
              <w:rPr/>
            </w:pPr>
            <w:r w:rsidDel="00000000" w:rsidR="00000000" w:rsidRPr="00000000">
              <w:rPr>
                <w:rtl w:val="0"/>
              </w:rPr>
              <w:t xml:space="preserve">INMETRO</w:t>
            </w:r>
          </w:p>
        </w:tc>
        <w:tc>
          <w:tcPr/>
          <w:p w:rsidR="00000000" w:rsidDel="00000000" w:rsidP="00000000" w:rsidRDefault="00000000" w:rsidRPr="00000000" w14:paraId="0000012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Alessandra Weyandt</w:t>
            </w:r>
          </w:p>
        </w:tc>
      </w:tr>
      <w:tr>
        <w:trPr>
          <w:cantSplit w:val="0"/>
          <w:tblHeader w:val="0"/>
        </w:trPr>
        <w:tc>
          <w:tcPr/>
          <w:p w:rsidR="00000000" w:rsidDel="00000000" w:rsidP="00000000" w:rsidRDefault="00000000" w:rsidRPr="00000000" w14:paraId="00000127">
            <w:pPr>
              <w:jc w:val="both"/>
              <w:rPr/>
            </w:pPr>
            <w:r w:rsidDel="00000000" w:rsidR="00000000" w:rsidRPr="00000000">
              <w:rPr>
                <w:rtl w:val="0"/>
              </w:rPr>
              <w:t xml:space="preserve">Production Division</w:t>
            </w:r>
          </w:p>
        </w:tc>
        <w:tc>
          <w:tcPr/>
          <w:p w:rsidR="00000000" w:rsidDel="00000000" w:rsidP="00000000" w:rsidRDefault="00000000" w:rsidRPr="00000000" w14:paraId="0000012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Camilla Marangon, Ibá</w:t>
            </w:r>
          </w:p>
          <w:p w:rsidR="00000000" w:rsidDel="00000000" w:rsidP="00000000" w:rsidRDefault="00000000" w:rsidRPr="00000000" w14:paraId="0000012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Nathália Granato Loures, Ibá </w:t>
            </w:r>
          </w:p>
          <w:p w:rsidR="00000000" w:rsidDel="00000000" w:rsidP="00000000" w:rsidRDefault="00000000" w:rsidRPr="00000000" w14:paraId="0000012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Wellington Cesar C. Cardoso – PCCF/IPEF</w:t>
            </w:r>
          </w:p>
        </w:tc>
      </w:tr>
      <w:tr>
        <w:trPr>
          <w:cantSplit w:val="0"/>
          <w:tblHeader w:val="0"/>
        </w:trPr>
        <w:tc>
          <w:tcPr/>
          <w:p w:rsidR="00000000" w:rsidDel="00000000" w:rsidP="00000000" w:rsidRDefault="00000000" w:rsidRPr="00000000" w14:paraId="0000012B">
            <w:pPr>
              <w:jc w:val="both"/>
              <w:rPr/>
            </w:pPr>
            <w:r w:rsidDel="00000000" w:rsidR="00000000" w:rsidRPr="00000000">
              <w:rPr>
                <w:rtl w:val="0"/>
              </w:rPr>
              <w:t xml:space="preserve">PEFC Uruguay</w:t>
            </w:r>
          </w:p>
        </w:tc>
        <w:tc>
          <w:tcPr/>
          <w:p w:rsidR="00000000" w:rsidDel="00000000" w:rsidP="00000000" w:rsidRDefault="00000000" w:rsidRPr="00000000" w14:paraId="0000012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Gabriela Malvarez</w:t>
            </w:r>
          </w:p>
        </w:tc>
      </w:tr>
      <w:tr>
        <w:trPr>
          <w:cantSplit w:val="0"/>
          <w:tblHeader w:val="0"/>
        </w:trPr>
        <w:tc>
          <w:tcPr/>
          <w:p w:rsidR="00000000" w:rsidDel="00000000" w:rsidP="00000000" w:rsidRDefault="00000000" w:rsidRPr="00000000" w14:paraId="0000012D">
            <w:pPr>
              <w:jc w:val="both"/>
              <w:rPr/>
            </w:pPr>
            <w:r w:rsidDel="00000000" w:rsidR="00000000" w:rsidRPr="00000000">
              <w:rPr>
                <w:rtl w:val="0"/>
              </w:rPr>
              <w:t xml:space="preserve">Certification bodies</w:t>
            </w:r>
          </w:p>
        </w:tc>
        <w:tc>
          <w:tcPr/>
          <w:p w:rsidR="00000000" w:rsidDel="00000000" w:rsidP="00000000" w:rsidRDefault="00000000" w:rsidRPr="00000000" w14:paraId="0000012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Juliana Gonçalves, Bureau Veritas  </w:t>
            </w:r>
          </w:p>
          <w:p w:rsidR="00000000" w:rsidDel="00000000" w:rsidP="00000000" w:rsidRDefault="00000000" w:rsidRPr="00000000" w14:paraId="0000012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Mariana Seide, IMAFLORA</w:t>
            </w:r>
          </w:p>
          <w:p w:rsidR="00000000" w:rsidDel="00000000" w:rsidP="00000000" w:rsidRDefault="00000000" w:rsidRPr="00000000" w14:paraId="0000013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Maureen Voigtlaender – Neocert</w:t>
            </w:r>
          </w:p>
          <w:p w:rsidR="00000000" w:rsidDel="00000000" w:rsidP="00000000" w:rsidRDefault="00000000" w:rsidRPr="00000000" w14:paraId="0000013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Naiara Teodoro Zamin and José Lucas, Sysflor/SCS</w:t>
            </w:r>
          </w:p>
          <w:p w:rsidR="00000000" w:rsidDel="00000000" w:rsidP="00000000" w:rsidRDefault="00000000" w:rsidRPr="00000000" w14:paraId="0000013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Ricardo Teixeira and Bruna Scarpo, APCER</w:t>
            </w:r>
          </w:p>
        </w:tc>
      </w:tr>
    </w:tbl>
    <w:p w:rsidR="00000000" w:rsidDel="00000000" w:rsidP="00000000" w:rsidRDefault="00000000" w:rsidRPr="00000000" w14:paraId="00000133">
      <w:pPr>
        <w:spacing w:after="0" w:line="240" w:lineRule="auto"/>
        <w:jc w:val="both"/>
        <w:rPr/>
      </w:pPr>
      <w:r w:rsidDel="00000000" w:rsidR="00000000" w:rsidRPr="00000000">
        <w:rPr>
          <w:rtl w:val="0"/>
        </w:rPr>
      </w:r>
    </w:p>
    <w:p w:rsidR="00000000" w:rsidDel="00000000" w:rsidP="00000000" w:rsidRDefault="00000000" w:rsidRPr="00000000" w14:paraId="00000134">
      <w:pPr>
        <w:spacing w:after="0" w:line="240" w:lineRule="auto"/>
        <w:ind w:firstLine="360"/>
        <w:jc w:val="both"/>
        <w:rPr/>
      </w:pPr>
      <w:r w:rsidDel="00000000" w:rsidR="00000000" w:rsidRPr="00000000">
        <w:rPr>
          <w:rtl w:val="0"/>
        </w:rPr>
        <w:t xml:space="preserve">The committee met twice during the process, on March 23 and May 4 2022, to discuss critical issues related to the norms in detail, support the consultancy by answering practical and norms-related questions, as well as offer technical recommendations to the Council to debate structural and strategic issues related to the norms and standards. </w:t>
      </w:r>
    </w:p>
    <w:p w:rsidR="00000000" w:rsidDel="00000000" w:rsidP="00000000" w:rsidRDefault="00000000" w:rsidRPr="00000000" w14:paraId="00000135">
      <w:pPr>
        <w:spacing w:after="0" w:line="240" w:lineRule="auto"/>
        <w:ind w:firstLine="360"/>
        <w:jc w:val="both"/>
        <w:rPr/>
      </w:pPr>
      <w:r w:rsidDel="00000000" w:rsidR="00000000" w:rsidRPr="00000000">
        <w:rPr>
          <w:rtl w:val="0"/>
        </w:rPr>
        <w:t xml:space="preserve">Besides the committee meetings, the IPMF Council also met on March 10 and May 6 to deliberate on the revision process. </w:t>
      </w:r>
    </w:p>
    <w:p w:rsidR="00000000" w:rsidDel="00000000" w:rsidP="00000000" w:rsidRDefault="00000000" w:rsidRPr="00000000" w14:paraId="00000136">
      <w:pPr>
        <w:spacing w:after="0" w:line="240" w:lineRule="auto"/>
        <w:ind w:firstLine="360"/>
        <w:jc w:val="both"/>
        <w:rPr/>
      </w:pPr>
      <w:r w:rsidDel="00000000" w:rsidR="00000000" w:rsidRPr="00000000">
        <w:rPr>
          <w:rtl w:val="0"/>
        </w:rPr>
        <w:t xml:space="preserve">The final result of the revision process was then sent to the Council members by email on May 11 after approval.</w:t>
      </w:r>
    </w:p>
    <w:p w:rsidR="00000000" w:rsidDel="00000000" w:rsidP="00000000" w:rsidRDefault="00000000" w:rsidRPr="00000000" w14:paraId="00000137">
      <w:pPr>
        <w:spacing w:after="0" w:line="240" w:lineRule="auto"/>
        <w:jc w:val="both"/>
        <w:rPr>
          <w:b w:val="1"/>
        </w:rPr>
      </w:pPr>
      <w:r w:rsidDel="00000000" w:rsidR="00000000" w:rsidRPr="00000000">
        <w:rPr>
          <w:rtl w:val="0"/>
        </w:rPr>
      </w:r>
    </w:p>
    <w:p w:rsidR="00000000" w:rsidDel="00000000" w:rsidP="00000000" w:rsidRDefault="00000000" w:rsidRPr="00000000" w14:paraId="0000013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748456" w:val="clear"/>
        <w:spacing w:after="0" w:before="0" w:line="240" w:lineRule="auto"/>
        <w:ind w:left="360" w:right="0" w:hanging="36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LIST OF DOCUMENTS AND EVIDENCE SUBMITTED FOR RE-ENDORSEMENT</w:t>
      </w:r>
    </w:p>
    <w:p w:rsidR="00000000" w:rsidDel="00000000" w:rsidP="00000000" w:rsidRDefault="00000000" w:rsidRPr="00000000" w14:paraId="00000139">
      <w:pPr>
        <w:spacing w:after="0" w:line="240" w:lineRule="auto"/>
        <w:jc w:val="both"/>
        <w:rPr/>
      </w:pPr>
      <w:r w:rsidDel="00000000" w:rsidR="00000000" w:rsidRPr="00000000">
        <w:rPr>
          <w:rtl w:val="0"/>
        </w:rPr>
      </w:r>
    </w:p>
    <w:p w:rsidR="00000000" w:rsidDel="00000000" w:rsidP="00000000" w:rsidRDefault="00000000" w:rsidRPr="00000000" w14:paraId="0000013A">
      <w:pPr>
        <w:spacing w:after="0" w:line="240" w:lineRule="auto"/>
        <w:jc w:val="both"/>
        <w:rPr>
          <w:b w:val="1"/>
        </w:rPr>
      </w:pPr>
      <w:r w:rsidDel="00000000" w:rsidR="00000000" w:rsidRPr="00000000">
        <w:rPr>
          <w:b w:val="1"/>
          <w:rtl w:val="0"/>
        </w:rPr>
        <w:t xml:space="preserve">Standards:</w:t>
      </w:r>
    </w:p>
    <w:p w:rsidR="00000000" w:rsidDel="00000000" w:rsidP="00000000" w:rsidRDefault="00000000" w:rsidRPr="00000000" w14:paraId="000001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LM 01 01  - List of current documents</w:t>
      </w:r>
    </w:p>
    <w:p w:rsidR="00000000" w:rsidDel="00000000" w:rsidP="00000000" w:rsidRDefault="00000000" w:rsidRPr="00000000" w14:paraId="000001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SG 02 01 - Requirements for certifying bodies auditing forest management and chain of custody</w:t>
      </w:r>
    </w:p>
    <w:p w:rsidR="00000000" w:rsidDel="00000000" w:rsidP="00000000" w:rsidRDefault="00000000" w:rsidRPr="00000000" w14:paraId="0000013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SG 03 01 - Procedure for issuing licenses for use of PEFC trademarks</w:t>
      </w:r>
    </w:p>
    <w:p w:rsidR="00000000" w:rsidDel="00000000" w:rsidP="00000000" w:rsidRDefault="00000000" w:rsidRPr="00000000" w14:paraId="0000013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SG 04 01 - Procedures for addressing disputes and complaints</w:t>
      </w:r>
    </w:p>
    <w:p w:rsidR="00000000" w:rsidDel="00000000" w:rsidP="00000000" w:rsidRDefault="00000000" w:rsidRPr="00000000" w14:paraId="0000013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SG 05 01 - Requirements for group certification</w:t>
      </w:r>
    </w:p>
    <w:p w:rsidR="00000000" w:rsidDel="00000000" w:rsidP="00000000" w:rsidRDefault="00000000" w:rsidRPr="00000000" w14:paraId="0000014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ABNT NBR 14789: 2021 - Forest management – Principles, criteria, and indicators for planted forests</w:t>
      </w:r>
    </w:p>
    <w:p w:rsidR="00000000" w:rsidDel="00000000" w:rsidP="00000000" w:rsidRDefault="00000000" w:rsidRPr="00000000" w14:paraId="0000014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ABNT NBR 15789: 2021 - Forest management – Principles, criteria, and indicators for native forests</w:t>
      </w:r>
    </w:p>
    <w:p w:rsidR="00000000" w:rsidDel="00000000" w:rsidP="00000000" w:rsidRDefault="00000000" w:rsidRPr="00000000" w14:paraId="00000142">
      <w:pPr>
        <w:spacing w:after="0" w:line="240" w:lineRule="auto"/>
        <w:jc w:val="both"/>
        <w:rPr>
          <w:b w:val="1"/>
        </w:rPr>
      </w:pPr>
      <w:r w:rsidDel="00000000" w:rsidR="00000000" w:rsidRPr="00000000">
        <w:rPr>
          <w:rtl w:val="0"/>
        </w:rPr>
      </w:r>
    </w:p>
    <w:p w:rsidR="00000000" w:rsidDel="00000000" w:rsidP="00000000" w:rsidRDefault="00000000" w:rsidRPr="00000000" w14:paraId="00000143">
      <w:pPr>
        <w:spacing w:after="0" w:line="240" w:lineRule="auto"/>
        <w:jc w:val="both"/>
        <w:rPr>
          <w:b w:val="1"/>
        </w:rPr>
      </w:pPr>
      <w:r w:rsidDel="00000000" w:rsidR="00000000" w:rsidRPr="00000000">
        <w:rPr>
          <w:b w:val="1"/>
          <w:rtl w:val="0"/>
        </w:rPr>
        <w:t xml:space="preserve">Evidence:</w:t>
      </w:r>
    </w:p>
    <w:p w:rsidR="00000000" w:rsidDel="00000000" w:rsidP="00000000" w:rsidRDefault="00000000" w:rsidRPr="00000000" w14:paraId="00000144">
      <w:pPr>
        <w:spacing w:after="0" w:line="240" w:lineRule="auto"/>
        <w:jc w:val="both"/>
        <w:rPr>
          <w:b w:val="1"/>
        </w:rPr>
      </w:pPr>
      <w:r w:rsidDel="00000000" w:rsidR="00000000" w:rsidRPr="00000000">
        <w:rPr>
          <w:rtl w:val="0"/>
        </w:rPr>
      </w:r>
    </w:p>
    <w:p w:rsidR="00000000" w:rsidDel="00000000" w:rsidP="00000000" w:rsidRDefault="00000000" w:rsidRPr="00000000" w14:paraId="00000145">
      <w:pPr>
        <w:spacing w:after="0" w:line="240" w:lineRule="auto"/>
        <w:jc w:val="both"/>
        <w:rPr>
          <w:b w:val="1"/>
        </w:rPr>
      </w:pPr>
      <w:r w:rsidDel="00000000" w:rsidR="00000000" w:rsidRPr="00000000">
        <w:rPr>
          <w:rtl w:val="0"/>
        </w:rPr>
      </w:r>
    </w:p>
    <w:p w:rsidR="00000000" w:rsidDel="00000000" w:rsidP="00000000" w:rsidRDefault="00000000" w:rsidRPr="00000000" w14:paraId="00000146">
      <w:pPr>
        <w:spacing w:after="0" w:line="240" w:lineRule="auto"/>
        <w:jc w:val="both"/>
        <w:rPr>
          <w:b w:val="1"/>
        </w:rPr>
      </w:pPr>
      <w:r w:rsidDel="00000000" w:rsidR="00000000" w:rsidRPr="00000000">
        <w:rPr>
          <w:b w:val="1"/>
          <w:rtl w:val="0"/>
        </w:rPr>
        <w:t xml:space="preserve">List of documents submitted</w:t>
      </w:r>
    </w:p>
    <w:p w:rsidR="00000000" w:rsidDel="00000000" w:rsidP="00000000" w:rsidRDefault="00000000" w:rsidRPr="00000000" w14:paraId="0000014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Application letter</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PEFC Brazil -application letter 2022</w:t>
      </w:r>
    </w:p>
    <w:p w:rsidR="00000000" w:rsidDel="00000000" w:rsidP="00000000" w:rsidRDefault="00000000" w:rsidRPr="00000000" w14:paraId="0000014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Development report</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PEFC Brazil – Development report</w:t>
      </w:r>
    </w:p>
    <w:p w:rsidR="00000000" w:rsidDel="00000000" w:rsidP="00000000" w:rsidRDefault="00000000" w:rsidRPr="00000000" w14:paraId="0000014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PEFC Council Minimum Requirements CHECKLISTs</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PEFC Brazil – Checklist Certification and Accreditation_Annex 6</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PEFC Brazil – Checklist Group Certification PEFC ST 1002-2018</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PEFC Brazil – Checklist Scheme Administration</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PEFC Brazil – Checklist Standard Setting Procedures &amp; Process 2017</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PEFC Brazil – Checklist FM plantations</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PEFC Brazil – Checklist FM native</w:t>
      </w:r>
    </w:p>
    <w:p w:rsidR="00000000" w:rsidDel="00000000" w:rsidP="00000000" w:rsidRDefault="00000000" w:rsidRPr="00000000" w14:paraId="0000015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b w:val="1"/>
          <w:rtl w:val="0"/>
        </w:rPr>
        <w:t xml:space="preserve">PEFC Procedures</w:t>
      </w:r>
    </w:p>
    <w:p w:rsidR="00000000" w:rsidDel="00000000" w:rsidP="00000000" w:rsidRDefault="00000000" w:rsidRPr="00000000" w14:paraId="0000015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Revision process EVIDENCE</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1_ABNT_ISO documentation</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1_ABNT Statute v2018</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2_ISO guidance for ISO NSB</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PI_DT_00.00.01_Terminogia</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PI_DT_00.00.02_Elaboração e Revisão de DocTec ABNT</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PI_DT_00.00.07_CE_Funcionamento</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PI_DT_00.00.08_CE_Ata de Reunião</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PI_DT_00.00.11_PartesInteressadas</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2_Revision process:</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696"/>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1_Stakeholder mapping</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696"/>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2_Minutes and attendance lists</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696"/>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Annex A - Minutes 1ª meeting_2019-01-31</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696"/>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Annex B -- Minutes 5ª Reunião_2020-11-06</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696"/>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Annex G -- Minutes 1ª Reunião_2021-01-28</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696"/>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Annex H -- Minutes 3ª Reunião_2021_07_01</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696"/>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2"/>
          <w:szCs w:val="22"/>
          <w:u w:val="none"/>
          <w:shd w:fill="auto" w:val="clear"/>
          <w:vertAlign w:val="baseline"/>
          <w:rtl w:val="0"/>
        </w:rPr>
        <w:t xml:space="preserve">Ata_Especial_2021_02-06</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696"/>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3_Analysis of feedback</w:t>
      </w:r>
    </w:p>
    <w:p w:rsidR="00000000" w:rsidDel="00000000" w:rsidP="00000000" w:rsidRDefault="00000000" w:rsidRPr="00000000" w14:paraId="00000165">
      <w:pPr>
        <w:spacing w:after="0" w:line="240" w:lineRule="auto"/>
        <w:ind w:left="708" w:firstLine="708"/>
        <w:jc w:val="both"/>
        <w:rPr/>
      </w:pPr>
      <w:r w:rsidDel="00000000" w:rsidR="00000000" w:rsidRPr="00000000">
        <w:rPr>
          <w:rtl w:val="0"/>
        </w:rPr>
        <w:t xml:space="preserve">Annex D -- Relatório_CN_PABNTNBR14789</w:t>
      </w:r>
    </w:p>
    <w:p w:rsidR="00000000" w:rsidDel="00000000" w:rsidP="00000000" w:rsidRDefault="00000000" w:rsidRPr="00000000" w14:paraId="00000166">
      <w:pPr>
        <w:spacing w:after="0" w:line="240" w:lineRule="auto"/>
        <w:ind w:left="708" w:firstLine="708"/>
        <w:jc w:val="both"/>
        <w:rPr/>
      </w:pPr>
      <w:r w:rsidDel="00000000" w:rsidR="00000000" w:rsidRPr="00000000">
        <w:rPr>
          <w:rtl w:val="0"/>
        </w:rPr>
        <w:t xml:space="preserve">Annex E -- Relatório_CN_PABNTNBR15789</w:t>
      </w:r>
    </w:p>
    <w:p w:rsidR="00000000" w:rsidDel="00000000" w:rsidP="00000000" w:rsidRDefault="00000000" w:rsidRPr="00000000" w14:paraId="00000167">
      <w:pPr>
        <w:spacing w:after="0" w:line="240" w:lineRule="auto"/>
        <w:ind w:left="708" w:firstLine="708"/>
        <w:jc w:val="both"/>
        <w:rPr/>
      </w:pPr>
      <w:r w:rsidDel="00000000" w:rsidR="00000000" w:rsidRPr="00000000">
        <w:rPr>
          <w:rtl w:val="0"/>
        </w:rPr>
        <w:t xml:space="preserve">Annex F -- Ata_Especial_2021-02-26</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696"/>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4_Review projects</w:t>
      </w:r>
    </w:p>
    <w:p w:rsidR="00000000" w:rsidDel="00000000" w:rsidP="00000000" w:rsidRDefault="00000000" w:rsidRPr="00000000" w14:paraId="00000169">
      <w:pPr>
        <w:spacing w:after="0" w:line="240" w:lineRule="auto"/>
        <w:ind w:firstLine="708"/>
        <w:jc w:val="both"/>
        <w:rPr/>
      </w:pPr>
      <w:r w:rsidDel="00000000" w:rsidR="00000000" w:rsidRPr="00000000">
        <w:rPr>
          <w:rtl w:val="0"/>
        </w:rPr>
        <w:t xml:space="preserve">Projeto de Revisão ABNT NBR 14789</w:t>
      </w:r>
    </w:p>
    <w:p w:rsidR="00000000" w:rsidDel="00000000" w:rsidP="00000000" w:rsidRDefault="00000000" w:rsidRPr="00000000" w14:paraId="0000016A">
      <w:pPr>
        <w:spacing w:after="0" w:line="240" w:lineRule="auto"/>
        <w:ind w:firstLine="708"/>
        <w:jc w:val="both"/>
        <w:rPr/>
      </w:pPr>
      <w:r w:rsidDel="00000000" w:rsidR="00000000" w:rsidRPr="00000000">
        <w:rPr>
          <w:rtl w:val="0"/>
        </w:rPr>
        <w:t xml:space="preserve">Projeto de Revisão ABNT NBR 15789</w:t>
      </w:r>
    </w:p>
    <w:p w:rsidR="00000000" w:rsidDel="00000000" w:rsidP="00000000" w:rsidRDefault="00000000" w:rsidRPr="00000000" w14:paraId="0000016B">
      <w:pPr>
        <w:spacing w:after="0" w:line="240" w:lineRule="auto"/>
        <w:ind w:firstLine="708"/>
        <w:jc w:val="both"/>
        <w:rPr>
          <w:b w:val="1"/>
        </w:rPr>
      </w:pPr>
      <w:r w:rsidDel="00000000" w:rsidR="00000000" w:rsidRPr="00000000">
        <w:rPr>
          <w:b w:val="1"/>
          <w:rtl w:val="0"/>
        </w:rPr>
        <w:t xml:space="preserve">3_Approved standards</w:t>
      </w:r>
    </w:p>
    <w:p w:rsidR="00000000" w:rsidDel="00000000" w:rsidP="00000000" w:rsidRDefault="00000000" w:rsidRPr="00000000" w14:paraId="0000016C">
      <w:pPr>
        <w:spacing w:after="0" w:line="240" w:lineRule="auto"/>
        <w:jc w:val="both"/>
        <w:rPr>
          <w:b w:val="1"/>
        </w:rPr>
      </w:pPr>
      <w:r w:rsidDel="00000000" w:rsidR="00000000" w:rsidRPr="00000000">
        <w:rPr>
          <w:rtl w:val="0"/>
        </w:rPr>
      </w:r>
    </w:p>
    <w:sectPr>
      <w:pgSz w:h="16838" w:w="11906" w:orient="portrait"/>
      <w:pgMar w:bottom="1417" w:top="1417" w:left="1701" w:right="1701" w:header="708" w:footer="708"/>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Arial"/>
  <w:font w:name="Courier New"/>
  <w:font w:name="Noto Sans Symbol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6D">
      <w:pPr>
        <w:rPr>
          <w:b w:val="1"/>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IBGE. Mapa de Biomas do Brasil. Escala 1:5.000.000. Available online: https://www.ibge.gov.br/apps/biomas/ (accessed on 22 March 2022).</w:t>
      </w:r>
      <w:r w:rsidDel="00000000" w:rsidR="00000000" w:rsidRPr="00000000">
        <w:rPr>
          <w:rtl w:val="0"/>
        </w:rPr>
      </w:r>
    </w:p>
  </w:footnote>
  <w:footnote w:id="1">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Project MapBiomas Project – Collection 6.0 of Brazilian Land Cover &amp; Use Map Series,  accessed on 22 March 2022 at: </w:t>
      </w:r>
      <w:hyperlink r:id="rId1">
        <w:r w:rsidDel="00000000" w:rsidR="00000000" w:rsidRPr="00000000">
          <w:rPr>
            <w:rFonts w:ascii="Century Gothic" w:cs="Century Gothic" w:eastAsia="Century Gothic" w:hAnsi="Century Gothic"/>
            <w:b w:val="0"/>
            <w:i w:val="0"/>
            <w:smallCaps w:val="0"/>
            <w:strike w:val="0"/>
            <w:color w:val="e68200"/>
            <w:sz w:val="20"/>
            <w:szCs w:val="20"/>
            <w:u w:val="single"/>
            <w:shd w:fill="auto" w:val="clear"/>
            <w:vertAlign w:val="baseline"/>
            <w:rtl w:val="0"/>
          </w:rPr>
          <w:t xml:space="preserve">https://mapbiomas.org/en/estatisticas?cama_set_language=en</w:t>
        </w:r>
      </w:hyperlink>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r>
    </w:p>
  </w:footnote>
  <w:footnote w:id="2">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Brazilian Forests at a Glance -2019; Brazilian Forest Service </w:t>
      </w:r>
    </w:p>
  </w:footnote>
  <w:footnote w:id="3">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r>
      <w:hyperlink r:id="rId2">
        <w:r w:rsidDel="00000000" w:rsidR="00000000" w:rsidRPr="00000000">
          <w:rPr>
            <w:rFonts w:ascii="Century Gothic" w:cs="Century Gothic" w:eastAsia="Century Gothic" w:hAnsi="Century Gothic"/>
            <w:b w:val="0"/>
            <w:i w:val="0"/>
            <w:smallCaps w:val="0"/>
            <w:strike w:val="0"/>
            <w:color w:val="e68200"/>
            <w:sz w:val="20"/>
            <w:szCs w:val="20"/>
            <w:u w:val="single"/>
            <w:shd w:fill="auto" w:val="clear"/>
            <w:vertAlign w:val="baseline"/>
            <w:rtl w:val="0"/>
          </w:rPr>
          <w:t xml:space="preserve">https://iba.org/eng/datafiles/publicacoes/relatorios/relatorioiba2021.pdf</w:t>
        </w:r>
      </w:hyperlink>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w:t>
      </w:r>
    </w:p>
  </w:footnote>
  <w:footnote w:id="4">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SOBRAL, Leonardo, LENTINI, Marco, CARVALHO, Tomás. Não podemos repetir o erro que cometemos com o pau-brasil. O Eco, 02 de maio de 2021. Available at: </w:t>
      </w:r>
      <w:hyperlink r:id="rId3">
        <w:r w:rsidDel="00000000" w:rsidR="00000000" w:rsidRPr="00000000">
          <w:rPr>
            <w:rFonts w:ascii="Century Gothic" w:cs="Century Gothic" w:eastAsia="Century Gothic" w:hAnsi="Century Gothic"/>
            <w:b w:val="0"/>
            <w:i w:val="0"/>
            <w:smallCaps w:val="0"/>
            <w:strike w:val="0"/>
            <w:color w:val="e68200"/>
            <w:sz w:val="20"/>
            <w:szCs w:val="20"/>
            <w:u w:val="single"/>
            <w:shd w:fill="auto" w:val="clear"/>
            <w:vertAlign w:val="baseline"/>
            <w:rtl w:val="0"/>
          </w:rPr>
          <w:t xml:space="preserve">https://oeco.org.br/analises/nao-podemos-repetir-o-erro-que-cometemos-com-o-pau-brasil/</w:t>
        </w:r>
      </w:hyperlink>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 Accessed May 10, 2022.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1004" w:hanging="360"/>
      </w:pPr>
      <w:rPr>
        <w:rFonts w:ascii="Noto Sans Symbols" w:cs="Noto Sans Symbols" w:eastAsia="Noto Sans Symbols" w:hAnsi="Noto Sans Symbols"/>
      </w:rPr>
    </w:lvl>
    <w:lvl w:ilvl="1">
      <w:start w:val="1"/>
      <w:numFmt w:val="bullet"/>
      <w:lvlText w:val="o"/>
      <w:lvlJc w:val="left"/>
      <w:pPr>
        <w:ind w:left="1724" w:hanging="360"/>
      </w:pPr>
      <w:rPr>
        <w:rFonts w:ascii="Courier New" w:cs="Courier New" w:eastAsia="Courier New" w:hAnsi="Courier New"/>
      </w:rPr>
    </w:lvl>
    <w:lvl w:ilvl="2">
      <w:start w:val="1"/>
      <w:numFmt w:val="bullet"/>
      <w:lvlText w:val="▪"/>
      <w:lvlJc w:val="left"/>
      <w:pPr>
        <w:ind w:left="2444" w:hanging="360"/>
      </w:pPr>
      <w:rPr>
        <w:rFonts w:ascii="Noto Sans Symbols" w:cs="Noto Sans Symbols" w:eastAsia="Noto Sans Symbols" w:hAnsi="Noto Sans Symbols"/>
      </w:rPr>
    </w:lvl>
    <w:lvl w:ilvl="3">
      <w:start w:val="1"/>
      <w:numFmt w:val="bullet"/>
      <w:lvlText w:val="●"/>
      <w:lvlJc w:val="left"/>
      <w:pPr>
        <w:ind w:left="3164" w:hanging="360"/>
      </w:pPr>
      <w:rPr>
        <w:rFonts w:ascii="Noto Sans Symbols" w:cs="Noto Sans Symbols" w:eastAsia="Noto Sans Symbols" w:hAnsi="Noto Sans Symbols"/>
      </w:rPr>
    </w:lvl>
    <w:lvl w:ilvl="4">
      <w:start w:val="1"/>
      <w:numFmt w:val="bullet"/>
      <w:lvlText w:val="o"/>
      <w:lvlJc w:val="left"/>
      <w:pPr>
        <w:ind w:left="3884" w:hanging="360"/>
      </w:pPr>
      <w:rPr>
        <w:rFonts w:ascii="Courier New" w:cs="Courier New" w:eastAsia="Courier New" w:hAnsi="Courier New"/>
      </w:rPr>
    </w:lvl>
    <w:lvl w:ilvl="5">
      <w:start w:val="1"/>
      <w:numFmt w:val="bullet"/>
      <w:lvlText w:val="▪"/>
      <w:lvlJc w:val="left"/>
      <w:pPr>
        <w:ind w:left="4604" w:hanging="360"/>
      </w:pPr>
      <w:rPr>
        <w:rFonts w:ascii="Noto Sans Symbols" w:cs="Noto Sans Symbols" w:eastAsia="Noto Sans Symbols" w:hAnsi="Noto Sans Symbols"/>
      </w:rPr>
    </w:lvl>
    <w:lvl w:ilvl="6">
      <w:start w:val="1"/>
      <w:numFmt w:val="bullet"/>
      <w:lvlText w:val="●"/>
      <w:lvlJc w:val="left"/>
      <w:pPr>
        <w:ind w:left="5324" w:hanging="360"/>
      </w:pPr>
      <w:rPr>
        <w:rFonts w:ascii="Noto Sans Symbols" w:cs="Noto Sans Symbols" w:eastAsia="Noto Sans Symbols" w:hAnsi="Noto Sans Symbols"/>
      </w:rPr>
    </w:lvl>
    <w:lvl w:ilvl="7">
      <w:start w:val="1"/>
      <w:numFmt w:val="bullet"/>
      <w:lvlText w:val="o"/>
      <w:lvlJc w:val="left"/>
      <w:pPr>
        <w:ind w:left="6044" w:hanging="360"/>
      </w:pPr>
      <w:rPr>
        <w:rFonts w:ascii="Courier New" w:cs="Courier New" w:eastAsia="Courier New" w:hAnsi="Courier New"/>
      </w:rPr>
    </w:lvl>
    <w:lvl w:ilvl="8">
      <w:start w:val="1"/>
      <w:numFmt w:val="bullet"/>
      <w:lvlText w:val="▪"/>
      <w:lvlJc w:val="left"/>
      <w:pPr>
        <w:ind w:left="6764"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bullet"/>
      <w:lvlText w:val="●"/>
      <w:lvlJc w:val="left"/>
      <w:pPr>
        <w:ind w:left="644" w:hanging="359.99999999999994"/>
      </w:pPr>
      <w:rPr>
        <w:rFonts w:ascii="Noto Sans Symbols" w:cs="Noto Sans Symbols" w:eastAsia="Noto Sans Symbols" w:hAnsi="Noto Sans Symbols"/>
      </w:rPr>
    </w:lvl>
    <w:lvl w:ilvl="1">
      <w:start w:val="1"/>
      <w:numFmt w:val="bullet"/>
      <w:lvlText w:val="o"/>
      <w:lvlJc w:val="left"/>
      <w:pPr>
        <w:ind w:left="1364" w:hanging="360"/>
      </w:pPr>
      <w:rPr>
        <w:rFonts w:ascii="Courier New" w:cs="Courier New" w:eastAsia="Courier New" w:hAnsi="Courier New"/>
      </w:rPr>
    </w:lvl>
    <w:lvl w:ilvl="2">
      <w:start w:val="1"/>
      <w:numFmt w:val="bullet"/>
      <w:lvlText w:val="▪"/>
      <w:lvlJc w:val="left"/>
      <w:pPr>
        <w:ind w:left="2084" w:hanging="360"/>
      </w:pPr>
      <w:rPr>
        <w:rFonts w:ascii="Noto Sans Symbols" w:cs="Noto Sans Symbols" w:eastAsia="Noto Sans Symbols" w:hAnsi="Noto Sans Symbols"/>
      </w:rPr>
    </w:lvl>
    <w:lvl w:ilvl="3">
      <w:start w:val="1"/>
      <w:numFmt w:val="bullet"/>
      <w:lvlText w:val="●"/>
      <w:lvlJc w:val="left"/>
      <w:pPr>
        <w:ind w:left="2804" w:hanging="360"/>
      </w:pPr>
      <w:rPr>
        <w:rFonts w:ascii="Noto Sans Symbols" w:cs="Noto Sans Symbols" w:eastAsia="Noto Sans Symbols" w:hAnsi="Noto Sans Symbols"/>
      </w:rPr>
    </w:lvl>
    <w:lvl w:ilvl="4">
      <w:start w:val="1"/>
      <w:numFmt w:val="bullet"/>
      <w:lvlText w:val="o"/>
      <w:lvlJc w:val="left"/>
      <w:pPr>
        <w:ind w:left="3524" w:hanging="360"/>
      </w:pPr>
      <w:rPr>
        <w:rFonts w:ascii="Courier New" w:cs="Courier New" w:eastAsia="Courier New" w:hAnsi="Courier New"/>
      </w:rPr>
    </w:lvl>
    <w:lvl w:ilvl="5">
      <w:start w:val="1"/>
      <w:numFmt w:val="bullet"/>
      <w:lvlText w:val="▪"/>
      <w:lvlJc w:val="left"/>
      <w:pPr>
        <w:ind w:left="4244" w:hanging="360"/>
      </w:pPr>
      <w:rPr>
        <w:rFonts w:ascii="Noto Sans Symbols" w:cs="Noto Sans Symbols" w:eastAsia="Noto Sans Symbols" w:hAnsi="Noto Sans Symbols"/>
      </w:rPr>
    </w:lvl>
    <w:lvl w:ilvl="6">
      <w:start w:val="1"/>
      <w:numFmt w:val="bullet"/>
      <w:lvlText w:val="●"/>
      <w:lvlJc w:val="left"/>
      <w:pPr>
        <w:ind w:left="4964" w:hanging="360"/>
      </w:pPr>
      <w:rPr>
        <w:rFonts w:ascii="Noto Sans Symbols" w:cs="Noto Sans Symbols" w:eastAsia="Noto Sans Symbols" w:hAnsi="Noto Sans Symbols"/>
      </w:rPr>
    </w:lvl>
    <w:lvl w:ilvl="7">
      <w:start w:val="1"/>
      <w:numFmt w:val="bullet"/>
      <w:lvlText w:val="o"/>
      <w:lvlJc w:val="left"/>
      <w:pPr>
        <w:ind w:left="5684" w:hanging="360"/>
      </w:pPr>
      <w:rPr>
        <w:rFonts w:ascii="Courier New" w:cs="Courier New" w:eastAsia="Courier New" w:hAnsi="Courier New"/>
      </w:rPr>
    </w:lvl>
    <w:lvl w:ilvl="8">
      <w:start w:val="1"/>
      <w:numFmt w:val="bullet"/>
      <w:lvlText w:val="▪"/>
      <w:lvlJc w:val="left"/>
      <w:pPr>
        <w:ind w:left="6404"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SemEspaamento">
    <w:name w:val="No Spacing"/>
    <w:link w:val="SemEspaamentoChar"/>
    <w:uiPriority w:val="1"/>
    <w:qFormat w:val="1"/>
    <w:rsid w:val="00ED3A83"/>
    <w:pPr>
      <w:spacing w:after="0" w:line="240" w:lineRule="auto"/>
    </w:pPr>
    <w:rPr>
      <w:rFonts w:eastAsiaTheme="minorEastAsia"/>
      <w:lang w:eastAsia="pt-BR"/>
    </w:rPr>
  </w:style>
  <w:style w:type="character" w:styleId="SemEspaamentoChar" w:customStyle="1">
    <w:name w:val="Sem Espaçamento Char"/>
    <w:basedOn w:val="Fontepargpadro"/>
    <w:link w:val="SemEspaamento"/>
    <w:uiPriority w:val="1"/>
    <w:rsid w:val="00ED3A83"/>
    <w:rPr>
      <w:rFonts w:eastAsiaTheme="minorEastAsia"/>
      <w:lang w:eastAsia="pt-BR"/>
    </w:rPr>
  </w:style>
  <w:style w:type="paragraph" w:styleId="Textodebalo">
    <w:name w:val="Balloon Text"/>
    <w:basedOn w:val="Normal"/>
    <w:link w:val="TextodebaloChar"/>
    <w:uiPriority w:val="99"/>
    <w:semiHidden w:val="1"/>
    <w:unhideWhenUsed w:val="1"/>
    <w:rsid w:val="00ED3A83"/>
    <w:pPr>
      <w:spacing w:after="0" w:line="240" w:lineRule="auto"/>
    </w:pPr>
    <w:rPr>
      <w:rFonts w:ascii="Tahoma" w:cs="Tahoma" w:hAnsi="Tahoma"/>
      <w:sz w:val="16"/>
      <w:szCs w:val="16"/>
    </w:rPr>
  </w:style>
  <w:style w:type="character" w:styleId="TextodebaloChar" w:customStyle="1">
    <w:name w:val="Texto de balão Char"/>
    <w:basedOn w:val="Fontepargpadro"/>
    <w:link w:val="Textodebalo"/>
    <w:uiPriority w:val="99"/>
    <w:semiHidden w:val="1"/>
    <w:rsid w:val="00ED3A83"/>
    <w:rPr>
      <w:rFonts w:ascii="Tahoma" w:cs="Tahoma" w:hAnsi="Tahoma"/>
      <w:sz w:val="16"/>
      <w:szCs w:val="16"/>
    </w:rPr>
  </w:style>
  <w:style w:type="paragraph" w:styleId="PargrafodaLista">
    <w:name w:val="List Paragraph"/>
    <w:basedOn w:val="Normal"/>
    <w:uiPriority w:val="34"/>
    <w:qFormat w:val="1"/>
    <w:rsid w:val="00ED3A83"/>
    <w:pPr>
      <w:ind w:left="720"/>
      <w:contextualSpacing w:val="1"/>
    </w:pPr>
  </w:style>
  <w:style w:type="paragraph" w:styleId="NormalWeb">
    <w:name w:val="Normal (Web)"/>
    <w:basedOn w:val="Normal"/>
    <w:uiPriority w:val="99"/>
    <w:unhideWhenUsed w:val="1"/>
    <w:rsid w:val="00B05363"/>
    <w:pPr>
      <w:spacing w:after="100" w:afterAutospacing="1" w:before="100" w:beforeAutospacing="1" w:line="240" w:lineRule="auto"/>
    </w:pPr>
    <w:rPr>
      <w:rFonts w:ascii="Times New Roman" w:cs="Times New Roman" w:eastAsia="Times New Roman" w:hAnsi="Times New Roman"/>
      <w:sz w:val="24"/>
      <w:szCs w:val="24"/>
      <w:lang w:eastAsia="pt-BR"/>
    </w:rPr>
  </w:style>
  <w:style w:type="character" w:styleId="nfase">
    <w:name w:val="Emphasis"/>
    <w:basedOn w:val="Fontepargpadro"/>
    <w:uiPriority w:val="20"/>
    <w:qFormat w:val="1"/>
    <w:rsid w:val="00CE3FA3"/>
    <w:rPr>
      <w:i w:val="1"/>
      <w:iCs w:val="1"/>
    </w:rPr>
  </w:style>
  <w:style w:type="paragraph" w:styleId="Textodenotaderodap">
    <w:name w:val="footnote text"/>
    <w:basedOn w:val="Normal"/>
    <w:link w:val="TextodenotaderodapChar"/>
    <w:uiPriority w:val="99"/>
    <w:semiHidden w:val="1"/>
    <w:unhideWhenUsed w:val="1"/>
    <w:rsid w:val="00D96BF9"/>
    <w:pPr>
      <w:spacing w:after="0" w:line="240" w:lineRule="auto"/>
    </w:pPr>
    <w:rPr>
      <w:sz w:val="20"/>
      <w:szCs w:val="20"/>
    </w:rPr>
  </w:style>
  <w:style w:type="character" w:styleId="TextodenotaderodapChar" w:customStyle="1">
    <w:name w:val="Texto de nota de rodapé Char"/>
    <w:basedOn w:val="Fontepargpadro"/>
    <w:link w:val="Textodenotaderodap"/>
    <w:uiPriority w:val="99"/>
    <w:semiHidden w:val="1"/>
    <w:rsid w:val="00D96BF9"/>
    <w:rPr>
      <w:sz w:val="20"/>
      <w:szCs w:val="20"/>
    </w:rPr>
  </w:style>
  <w:style w:type="character" w:styleId="Refdenotaderodap">
    <w:name w:val="footnote reference"/>
    <w:basedOn w:val="Fontepargpadro"/>
    <w:uiPriority w:val="99"/>
    <w:semiHidden w:val="1"/>
    <w:unhideWhenUsed w:val="1"/>
    <w:rsid w:val="00D96BF9"/>
    <w:rPr>
      <w:vertAlign w:val="superscript"/>
    </w:rPr>
  </w:style>
  <w:style w:type="paragraph" w:styleId="Legenda">
    <w:name w:val="caption"/>
    <w:basedOn w:val="Normal"/>
    <w:next w:val="Normal"/>
    <w:uiPriority w:val="35"/>
    <w:unhideWhenUsed w:val="1"/>
    <w:qFormat w:val="1"/>
    <w:rsid w:val="00D96BF9"/>
    <w:pPr>
      <w:spacing w:line="240" w:lineRule="auto"/>
    </w:pPr>
    <w:rPr>
      <w:b w:val="1"/>
      <w:bCs w:val="1"/>
      <w:color w:val="94c600" w:themeColor="accent1"/>
      <w:sz w:val="18"/>
      <w:szCs w:val="18"/>
    </w:rPr>
  </w:style>
  <w:style w:type="character" w:styleId="Hyperlink">
    <w:name w:val="Hyperlink"/>
    <w:basedOn w:val="Fontepargpadro"/>
    <w:uiPriority w:val="99"/>
    <w:unhideWhenUsed w:val="1"/>
    <w:rsid w:val="00386D61"/>
    <w:rPr>
      <w:color w:val="e68200" w:themeColor="hyperlink"/>
      <w:u w:val="single"/>
    </w:rPr>
  </w:style>
  <w:style w:type="table" w:styleId="Tabelacomgrade">
    <w:name w:val="Table Grid"/>
    <w:basedOn w:val="Tabelanormal"/>
    <w:uiPriority w:val="59"/>
    <w:rsid w:val="00BC7D1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comentrio">
    <w:name w:val="annotation reference"/>
    <w:basedOn w:val="Fontepargpadro"/>
    <w:uiPriority w:val="99"/>
    <w:semiHidden w:val="1"/>
    <w:unhideWhenUsed w:val="1"/>
    <w:rsid w:val="003F608A"/>
    <w:rPr>
      <w:sz w:val="16"/>
      <w:szCs w:val="16"/>
    </w:rPr>
  </w:style>
  <w:style w:type="paragraph" w:styleId="Textodecomentrio">
    <w:name w:val="annotation text"/>
    <w:basedOn w:val="Normal"/>
    <w:link w:val="TextodecomentrioChar"/>
    <w:uiPriority w:val="99"/>
    <w:semiHidden w:val="1"/>
    <w:unhideWhenUsed w:val="1"/>
    <w:rsid w:val="003F608A"/>
    <w:pPr>
      <w:spacing w:line="240" w:lineRule="auto"/>
    </w:pPr>
    <w:rPr>
      <w:sz w:val="20"/>
      <w:szCs w:val="20"/>
    </w:rPr>
  </w:style>
  <w:style w:type="character" w:styleId="TextodecomentrioChar" w:customStyle="1">
    <w:name w:val="Texto de comentário Char"/>
    <w:basedOn w:val="Fontepargpadro"/>
    <w:link w:val="Textodecomentrio"/>
    <w:uiPriority w:val="99"/>
    <w:semiHidden w:val="1"/>
    <w:rsid w:val="003F608A"/>
    <w:rPr>
      <w:sz w:val="20"/>
      <w:szCs w:val="20"/>
    </w:rPr>
  </w:style>
  <w:style w:type="paragraph" w:styleId="Assuntodocomentrio">
    <w:name w:val="annotation subject"/>
    <w:basedOn w:val="Textodecomentrio"/>
    <w:next w:val="Textodecomentrio"/>
    <w:link w:val="AssuntodocomentrioChar"/>
    <w:uiPriority w:val="99"/>
    <w:semiHidden w:val="1"/>
    <w:unhideWhenUsed w:val="1"/>
    <w:rsid w:val="003F608A"/>
    <w:rPr>
      <w:b w:val="1"/>
      <w:bCs w:val="1"/>
    </w:rPr>
  </w:style>
  <w:style w:type="character" w:styleId="AssuntodocomentrioChar" w:customStyle="1">
    <w:name w:val="Assunto do comentário Char"/>
    <w:basedOn w:val="TextodecomentrioChar"/>
    <w:link w:val="Assuntodocomentrio"/>
    <w:uiPriority w:val="99"/>
    <w:semiHidden w:val="1"/>
    <w:rsid w:val="003F608A"/>
    <w:rPr>
      <w:b w:val="1"/>
      <w:bCs w:val="1"/>
      <w:sz w:val="20"/>
      <w:szCs w:val="20"/>
    </w:rPr>
  </w:style>
  <w:style w:type="paragraph" w:styleId="Pa13" w:customStyle="1">
    <w:name w:val="Pa13"/>
    <w:basedOn w:val="Normal"/>
    <w:next w:val="Normal"/>
    <w:uiPriority w:val="99"/>
    <w:rsid w:val="00A64503"/>
    <w:pPr>
      <w:autoSpaceDE w:val="0"/>
      <w:autoSpaceDN w:val="0"/>
      <w:adjustRightInd w:val="0"/>
      <w:spacing w:after="0" w:line="221" w:lineRule="atLeast"/>
    </w:pPr>
    <w:rPr>
      <w:rFonts w:ascii="Akzidenz Grotesk BE Bold" w:hAnsi="Akzidenz Grotesk BE Bold"/>
      <w:sz w:val="24"/>
      <w:szCs w:val="24"/>
    </w:rPr>
  </w:style>
  <w:style w:type="character" w:styleId="A4" w:customStyle="1">
    <w:name w:val="A4"/>
    <w:uiPriority w:val="99"/>
    <w:rsid w:val="00A64503"/>
    <w:rPr>
      <w:rFonts w:ascii="Akzidenz Grotesk BE Light" w:cs="Akzidenz Grotesk BE Light" w:hAnsi="Akzidenz Grotesk BE Light"/>
      <w:color w:val="000000"/>
      <w:sz w:val="21"/>
      <w:szCs w:val="21"/>
    </w:rPr>
  </w:style>
  <w:style w:type="paragraph" w:styleId="Pa15" w:customStyle="1">
    <w:name w:val="Pa15"/>
    <w:basedOn w:val="Normal"/>
    <w:next w:val="Normal"/>
    <w:uiPriority w:val="99"/>
    <w:rsid w:val="00A64503"/>
    <w:pPr>
      <w:autoSpaceDE w:val="0"/>
      <w:autoSpaceDN w:val="0"/>
      <w:adjustRightInd w:val="0"/>
      <w:spacing w:after="0" w:line="211" w:lineRule="atLeast"/>
    </w:pPr>
    <w:rPr>
      <w:rFonts w:ascii="Akzidenz Grotesk BE Bold" w:hAnsi="Akzidenz Grotesk BE Bold"/>
      <w:sz w:val="24"/>
      <w:szCs w:val="24"/>
    </w:rPr>
  </w:style>
  <w:style w:type="paragraph" w:styleId="Reviso">
    <w:name w:val="Revision"/>
    <w:hidden w:val="1"/>
    <w:uiPriority w:val="99"/>
    <w:semiHidden w:val="1"/>
    <w:rsid w:val="00C86B7B"/>
    <w:pPr>
      <w:spacing w:after="0" w:line="240" w:lineRule="auto"/>
    </w:pPr>
  </w:style>
  <w:style w:type="paragraph" w:styleId="Default" w:customStyle="1">
    <w:name w:val="Default"/>
    <w:rsid w:val="00C86B7B"/>
    <w:pPr>
      <w:autoSpaceDE w:val="0"/>
      <w:autoSpaceDN w:val="0"/>
      <w:adjustRightInd w:val="0"/>
      <w:spacing w:after="0" w:line="240" w:lineRule="auto"/>
    </w:pPr>
    <w:rPr>
      <w:rFonts w:ascii="Akzidenz Grotesk BE Bold" w:cs="Akzidenz Grotesk BE Bold" w:hAnsi="Akzidenz Grotesk BE Bold"/>
      <w:color w:val="000000"/>
      <w:sz w:val="24"/>
      <w:szCs w:val="24"/>
    </w:rPr>
  </w:style>
  <w:style w:type="character" w:styleId="apple-tab-span" w:customStyle="1">
    <w:name w:val="apple-tab-span"/>
    <w:basedOn w:val="Fontepargpadro"/>
    <w:rsid w:val="00444105"/>
  </w:style>
  <w:style w:type="character" w:styleId="Forte">
    <w:name w:val="Strong"/>
    <w:basedOn w:val="Fontepargpadro"/>
    <w:uiPriority w:val="22"/>
    <w:qFormat w:val="1"/>
    <w:rsid w:val="00E471B0"/>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360.0" w:type="dxa"/>
        <w:bottom w:w="0.0" w:type="dxa"/>
        <w:right w:w="360.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15.0" w:type="dxa"/>
        <w:left w:w="15.0" w:type="dxa"/>
        <w:bottom w:w="15.0" w:type="dxa"/>
        <w:right w:w="15.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jp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mapbiomas.org/en/estatisticas?cama_set_language=en" TargetMode="External"/><Relationship Id="rId2" Type="http://schemas.openxmlformats.org/officeDocument/2006/relationships/hyperlink" Target="https://iba.org/eng/datafiles/publicacoes/relatorios/relatorioiba2021.pdf" TargetMode="External"/><Relationship Id="rId3" Type="http://schemas.openxmlformats.org/officeDocument/2006/relationships/hyperlink" Target="https://oeco.org.br/analises/nao-podemos-repetir-o-erro-que-cometemos-com-o-pau-brasil/"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dov10ZtSyXllYtgkaWizl0huVQ==">AMUW2mWkUvZgZHFZc2v0CMnodJ1mGwPltggQ9OI1hiAWPVZqmKsdrLJvWQbAPpIb33heUXzC+cHevLwS3svxn52pN4LZT8y5SX0fX659OoziUgz49o6I3d1lETdWj05irZ0/VFLj9Bh7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2022-05-12T06:19:00Z</dcterms:created>
  <dc:creator>Camilla Marangon</dc:creator>
</cp:coreProperties>
</file>