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64.999999999998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4"/>
        <w:gridCol w:w="993"/>
        <w:gridCol w:w="4394"/>
        <w:gridCol w:w="1228"/>
        <w:gridCol w:w="2410"/>
        <w:gridCol w:w="6"/>
        <w:tblGridChange w:id="0">
          <w:tblGrid>
            <w:gridCol w:w="1134"/>
            <w:gridCol w:w="993"/>
            <w:gridCol w:w="4394"/>
            <w:gridCol w:w="1228"/>
            <w:gridCol w:w="2410"/>
            <w:gridCol w:w="6"/>
          </w:tblGrid>
        </w:tblGridChange>
      </w:tblGrid>
      <w:tr>
        <w:trPr>
          <w:cantSplit w:val="0"/>
          <w:tblHeader w:val="0"/>
        </w:trPr>
        <w:tc>
          <w:tcPr>
            <w:gridSpan w:val="6"/>
            <w:shd w:fill="aeaaaa" w:val="clear"/>
            <w:vAlign w:val="center"/>
          </w:tcPr>
          <w:p w:rsidR="00000000" w:rsidDel="00000000" w:rsidP="00000000" w:rsidRDefault="00000000" w:rsidRPr="00000000" w14:paraId="00000002">
            <w:pPr>
              <w:jc w:val="left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Document from the PEFC Brazil Management System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Version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Date effective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eaaaa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Control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LM 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List of current documents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2022/05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SG 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Procedure for drafting and managing documents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2022/05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SG 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Requirements for certifying bodies auditing forest management and chain of custody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2022/05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SG 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Procedure for issuing licenses for use of PEFC trademarks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2022/05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SG 04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Procedures for addressing disputes and complaints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2022/05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SG 05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Requirements for group certification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2022/05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</w:tbl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0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6"/>
        <w:gridCol w:w="4111"/>
        <w:gridCol w:w="1134"/>
        <w:gridCol w:w="2410"/>
        <w:tblGridChange w:id="0">
          <w:tblGrid>
            <w:gridCol w:w="2376"/>
            <w:gridCol w:w="4111"/>
            <w:gridCol w:w="1134"/>
            <w:gridCol w:w="2410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eaaaa" w:val="clear"/>
            <w:vAlign w:val="top"/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ABNT Brazil: standards and documents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eaaaa" w:val="clear"/>
            <w:vAlign w:val="center"/>
          </w:tcPr>
          <w:p w:rsidR="00000000" w:rsidDel="00000000" w:rsidP="00000000" w:rsidRDefault="00000000" w:rsidRPr="00000000" w14:paraId="00000038">
            <w:pPr>
              <w:jc w:val="left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ABNT Documents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Date effective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Control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ISO/IEC Guide 2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Normalization and related activities: General terminology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NBR ISO/IEC 17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021-1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Conformity assessment –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requirements for bodies providing audit and certification of management systems Part 1: requirements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09/2016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ABNT NBR ISO/IEC 17065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Conformity assessment - Requirements for bodies certifying products, processes and services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09/2013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Board of Directors of PEFC Brazil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NBR 14789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Forest management – Principles, criteria, and indicators for planted forests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03/2021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NBR 15789 </w:t>
            </w:r>
          </w:p>
          <w:p w:rsidR="00000000" w:rsidDel="00000000" w:rsidP="00000000" w:rsidRDefault="00000000" w:rsidRPr="00000000" w14:paraId="0000004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Forest management – Principles, criteria, and indicators for native forests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03/2021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NBR 16789 </w:t>
            </w:r>
          </w:p>
          <w:p w:rsidR="00000000" w:rsidDel="00000000" w:rsidP="00000000" w:rsidRDefault="00000000" w:rsidRPr="00000000" w14:paraId="0000005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Forest management – Guidelines for implementing ABNT NBR 14789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03/2014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NBR 15753 </w:t>
            </w:r>
          </w:p>
          <w:p w:rsidR="00000000" w:rsidDel="00000000" w:rsidP="00000000" w:rsidRDefault="00000000" w:rsidRPr="00000000" w14:paraId="0000005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Forest management – Guidelines for implementing ABNT NBR 15789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09/2009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NBR 14793 </w:t>
            </w:r>
          </w:p>
          <w:p w:rsidR="00000000" w:rsidDel="00000000" w:rsidP="00000000" w:rsidRDefault="00000000" w:rsidRPr="00000000" w14:paraId="0000005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Guidelines for forest auditing - Auditing procedures - Qualification criteria for forest auditors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05/2015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ABNT NBR ISO 19011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Guidelines for management system audits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05/2019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</w:tbl>
    <w:p w:rsidR="00000000" w:rsidDel="00000000" w:rsidP="00000000" w:rsidRDefault="00000000" w:rsidRPr="00000000" w14:paraId="00000065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6"/>
        <w:gridCol w:w="4111"/>
        <w:gridCol w:w="1134"/>
        <w:gridCol w:w="2410"/>
        <w:tblGridChange w:id="0">
          <w:tblGrid>
            <w:gridCol w:w="2376"/>
            <w:gridCol w:w="4111"/>
            <w:gridCol w:w="1134"/>
            <w:gridCol w:w="2410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eaaaa" w:val="clear"/>
            <w:vAlign w:val="top"/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PEFC INTERNATIONAL: standards and documents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eaaaa" w:val="clear"/>
            <w:vAlign w:val="center"/>
          </w:tcPr>
          <w:p w:rsidR="00000000" w:rsidDel="00000000" w:rsidP="00000000" w:rsidRDefault="00000000" w:rsidRPr="00000000" w14:paraId="0000006A">
            <w:pPr>
              <w:jc w:val="left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PEFC Documents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Date effective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eaaaa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  <w:rtl w:val="0"/>
              </w:rPr>
              <w:t xml:space="preserve">Control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ST 1001:2017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Standard Setting -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11/2017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ST 1002:2018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Group Forest Management Certification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11/2018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ST 1003:2018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Sustainable Forest Management - Requirements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11/2018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ST 2001:2020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Trademarks Rules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01/2020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ST 2002:2020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Chain of Custody of Forest and Tree Based Products -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01/2020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ST 2003-2020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Requirements for Certification Bodies Conducting PEFC Chain of Custody Certification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01/2020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1001:2008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Structure of the PEFC technical documentation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09/2008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1002:2008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Acceptance of PEFC members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10/2008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1003:2009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Council technical documents development procedures - requirements </w:t>
              <w:tab/>
              <w:t xml:space="preserve">new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01/2009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1004:2009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Administration of PEFC scheme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10/2009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1005:2012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Issuance of PEFC Logo Usage Licenses by the PEFC Council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11/2012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1007:2017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Endorsement and Mutual Recognition of National Schemes and their Revision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11/2017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1008:2019</w:t>
              <w:br w:type="textWrapping"/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Information and</w:t>
            </w:r>
          </w:p>
          <w:p w:rsidR="00000000" w:rsidDel="00000000" w:rsidP="00000000" w:rsidRDefault="00000000" w:rsidRPr="00000000" w14:paraId="000000A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Registration System –</w:t>
            </w:r>
          </w:p>
          <w:p w:rsidR="00000000" w:rsidDel="00000000" w:rsidP="00000000" w:rsidRDefault="00000000" w:rsidRPr="00000000" w14:paraId="000000A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Data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12/2019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1009:2018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Nomination and Election Procedures for the PEFC Council Board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10/2018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GD 2001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Chain of Custody of Forest-Based Products – Guidance for Use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05/2017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4"/>
                  <w:szCs w:val="24"/>
                  <w:u w:val="single"/>
                  <w:vertAlign w:val="baseline"/>
                  <w:rtl w:val="0"/>
                </w:rPr>
                <w:t xml:space="preserve">PEFC -Annex 6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Certification and Accreditation Procedures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10/2007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4"/>
                  <w:szCs w:val="24"/>
                  <w:u w:val="single"/>
                  <w:vertAlign w:val="baseline"/>
                  <w:rtl w:val="0"/>
                </w:rPr>
                <w:t xml:space="preserve">PEFC-Annex 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Terms and Definitions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10/2006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hyperlink r:id="rId9">
              <w:r w:rsidDel="00000000" w:rsidR="00000000" w:rsidRPr="00000000">
                <w:rPr>
                  <w:rFonts w:ascii="Calibri" w:cs="Calibri" w:eastAsia="Calibri" w:hAnsi="Calibri"/>
                  <w:color w:val="0000ff"/>
                  <w:sz w:val="24"/>
                  <w:szCs w:val="24"/>
                  <w:u w:val="single"/>
                  <w:vertAlign w:val="baseline"/>
                  <w:rtl w:val="0"/>
                </w:rPr>
                <w:t xml:space="preserve">PEFC-GL 2/2011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Council Minimum Requirements Checklist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01/2008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PEFC-GL 5/2006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Interpretation of the PEFC Council Requirements for Consensus in the Standard Setting Process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10/2006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PEFC-GL 7/2007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Council procedures for the investigation and resolution of complaints and Appeals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06/2007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GLI 4/2007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CODING SYSTEM </w:t>
              <w:br w:type="textWrapping"/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COVID-19: Chain of custody auditing guidance for certification bodies and certified companies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04/2021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COVID-19: SFM auditing guidance for certification bodies and certified companies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12/2020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Chain of Custody Pool of Experts Programme – Guidelines for the</w:t>
            </w:r>
          </w:p>
          <w:p w:rsidR="00000000" w:rsidDel="00000000" w:rsidP="00000000" w:rsidRDefault="00000000" w:rsidRPr="00000000" w14:paraId="000000C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development of trainings provided by the Pool of Experts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12/2020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Logo Usage Toolkit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PEFC Product Categories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01/2022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Technical document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Accepted abbreviation and translations of the PEFC International</w:t>
            </w:r>
          </w:p>
          <w:p w:rsidR="00000000" w:rsidDel="00000000" w:rsidP="00000000" w:rsidRDefault="00000000" w:rsidRPr="00000000" w14:paraId="000000DB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chain of custody claims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04/2021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Technical document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Template: Outsourcing Agreement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12/2020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jc w:val="left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baseline"/>
                <w:rtl w:val="0"/>
              </w:rPr>
              <w:t xml:space="preserve">Board of Directors of PEFC Brazil</w:t>
            </w:r>
          </w:p>
        </w:tc>
      </w:tr>
    </w:tbl>
    <w:p w:rsidR="00000000" w:rsidDel="00000000" w:rsidP="00000000" w:rsidRDefault="00000000" w:rsidRPr="00000000" w14:paraId="000000E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7" w:orient="portrait"/>
      <w:pgMar w:bottom="1418" w:top="1418" w:left="1134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jc w:val="right"/>
      <w:rPr>
        <w:rFonts w:ascii="Calibri" w:cs="Calibri" w:eastAsia="Calibri" w:hAnsi="Calibri"/>
        <w:sz w:val="24"/>
        <w:szCs w:val="24"/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of </w:t>
    </w:r>
    <w:r w:rsidDel="00000000" w:rsidR="00000000" w:rsidRPr="00000000">
      <w:rPr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tbl>
    <w:tblPr>
      <w:tblStyle w:val="Table6"/>
      <w:tblW w:w="9970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5032"/>
      <w:gridCol w:w="4938"/>
      <w:tblGridChange w:id="0">
        <w:tblGrid>
          <w:gridCol w:w="5032"/>
          <w:gridCol w:w="4938"/>
        </w:tblGrid>
      </w:tblGridChange>
    </w:tblGrid>
    <w:tr>
      <w:trPr>
        <w:cantSplit w:val="0"/>
        <w:trHeight w:val="270" w:hRule="atLeast"/>
        <w:tblHeader w:val="0"/>
      </w:trPr>
      <w:tc>
        <w:tcPr>
          <w:vAlign w:val="top"/>
        </w:tcPr>
        <w:p w:rsidR="00000000" w:rsidDel="00000000" w:rsidP="00000000" w:rsidRDefault="00000000" w:rsidRPr="00000000" w14:paraId="0000010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Drafted by: Board of Directors of PEFC Brazil</w:t>
          </w:r>
        </w:p>
      </w:tc>
      <w:tc>
        <w:tcPr>
          <w:vAlign w:val="top"/>
        </w:tcPr>
        <w:p w:rsidR="00000000" w:rsidDel="00000000" w:rsidP="00000000" w:rsidRDefault="00000000" w:rsidRPr="00000000" w14:paraId="0000010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Approved by: Administrative Board of PEFC Brazil</w:t>
          </w:r>
        </w:p>
      </w:tc>
    </w:tr>
  </w:tbl>
  <w:p w:rsidR="00000000" w:rsidDel="00000000" w:rsidP="00000000" w:rsidRDefault="00000000" w:rsidRPr="00000000" w14:paraId="000001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7"/>
      <w:tblW w:w="9749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360"/>
      <w:gridCol w:w="7389"/>
      <w:tblGridChange w:id="0">
        <w:tblGrid>
          <w:gridCol w:w="2360"/>
          <w:gridCol w:w="7389"/>
        </w:tblGrid>
      </w:tblGridChange>
    </w:tblGrid>
    <w:tr>
      <w:trPr>
        <w:cantSplit w:val="0"/>
        <w:trHeight w:val="27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07">
          <w:pPr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Drafted by</w:t>
          </w:r>
        </w:p>
      </w:tc>
      <w:tc>
        <w:tcPr>
          <w:vAlign w:val="center"/>
        </w:tcPr>
        <w:p w:rsidR="00000000" w:rsidDel="00000000" w:rsidP="00000000" w:rsidRDefault="00000000" w:rsidRPr="00000000" w14:paraId="00000108">
          <w:pPr>
            <w:rPr>
              <w:sz w:val="16"/>
              <w:szCs w:val="16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7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09">
          <w:pPr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sz w:val="20"/>
              <w:szCs w:val="20"/>
              <w:vertAlign w:val="baseline"/>
              <w:rtl w:val="0"/>
            </w:rPr>
            <w:t xml:space="preserve">Approved by</w:t>
          </w:r>
        </w:p>
      </w:tc>
      <w:tc>
        <w:tcPr>
          <w:vAlign w:val="center"/>
        </w:tcPr>
        <w:p w:rsidR="00000000" w:rsidDel="00000000" w:rsidP="00000000" w:rsidRDefault="00000000" w:rsidRPr="00000000" w14:paraId="0000010A">
          <w:pPr>
            <w:rPr>
              <w:sz w:val="16"/>
              <w:szCs w:val="16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4"/>
        <w:szCs w:val="24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9923.0" w:type="dxa"/>
      <w:jc w:val="left"/>
      <w:tblInd w:w="113.0" w:type="pc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1985"/>
      <w:gridCol w:w="4394"/>
      <w:gridCol w:w="1843"/>
      <w:gridCol w:w="1701"/>
      <w:tblGridChange w:id="0">
        <w:tblGrid>
          <w:gridCol w:w="1985"/>
          <w:gridCol w:w="4394"/>
          <w:gridCol w:w="1843"/>
          <w:gridCol w:w="1701"/>
        </w:tblGrid>
      </w:tblGridChange>
    </w:tblGrid>
    <w:tr>
      <w:trPr>
        <w:cantSplit w:val="1"/>
        <w:trHeight w:val="561" w:hRule="atLeast"/>
        <w:tblHeader w:val="0"/>
      </w:trPr>
      <w:tc>
        <w:tcPr>
          <w:vMerge w:val="restart"/>
          <w:tcBorders>
            <w:top w:color="000000" w:space="0" w:sz="8" w:val="single"/>
            <w:left w:color="000000" w:space="0" w:sz="8" w:val="single"/>
          </w:tcBorders>
          <w:vAlign w:val="top"/>
        </w:tcPr>
        <w:p w:rsidR="00000000" w:rsidDel="00000000" w:rsidP="00000000" w:rsidRDefault="00000000" w:rsidRPr="00000000" w14:paraId="000000E5">
          <w:pPr>
            <w:tabs>
              <w:tab w:val="left" w:pos="-720"/>
            </w:tabs>
            <w:spacing w:after="28" w:before="80" w:lineRule="auto"/>
            <w:rPr>
              <w:sz w:val="10"/>
              <w:szCs w:val="10"/>
              <w:vertAlign w:val="baseline"/>
            </w:rPr>
          </w:pPr>
          <w:r w:rsidDel="00000000" w:rsidR="00000000" w:rsidRPr="00000000">
            <w:rPr>
              <w:sz w:val="10"/>
              <w:szCs w:val="10"/>
              <w:vertAlign w:val="baseline"/>
              <w:rtl w:val="0"/>
            </w:rPr>
            <w:t xml:space="preserve">        LOGO PEFC BRASIL</w:t>
          </w:r>
        </w:p>
      </w:tc>
      <w:tc>
        <w:tcPr>
          <w:vMerge w:val="restart"/>
          <w:tcBorders>
            <w:top w:color="000000" w:space="0" w:sz="8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E6">
          <w:pPr>
            <w:jc w:val="center"/>
            <w:rPr>
              <w:rFonts w:ascii="Calibri" w:cs="Calibri" w:eastAsia="Calibri" w:hAnsi="Calibri"/>
              <w:b w:val="0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sz w:val="24"/>
              <w:szCs w:val="24"/>
              <w:vertAlign w:val="baseline"/>
              <w:rtl w:val="0"/>
            </w:rPr>
            <w:t xml:space="preserve">PEFC BRAZIL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7">
          <w:pPr>
            <w:jc w:val="center"/>
            <w:rPr>
              <w:rFonts w:ascii="Calibri" w:cs="Calibri" w:eastAsia="Calibri" w:hAnsi="Calibri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sz w:val="24"/>
              <w:szCs w:val="24"/>
              <w:vertAlign w:val="baseline"/>
              <w:rtl w:val="0"/>
            </w:rPr>
            <w:t xml:space="preserve">LIST OF DOCUMENTS </w:t>
          </w:r>
        </w:p>
      </w:tc>
      <w:tc>
        <w:tcPr>
          <w:tcBorders>
            <w:top w:color="000000" w:space="0" w:sz="8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E8">
          <w:pPr>
            <w:tabs>
              <w:tab w:val="right" w:pos="1192"/>
              <w:tab w:val="right" w:pos="4304"/>
            </w:tabs>
            <w:spacing w:after="30" w:before="30" w:lineRule="auto"/>
            <w:jc w:val="right"/>
            <w:rPr>
              <w:rFonts w:ascii="Calibri" w:cs="Calibri" w:eastAsia="Calibri" w:hAnsi="Calibri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sz w:val="24"/>
              <w:szCs w:val="24"/>
              <w:vertAlign w:val="baseline"/>
              <w:rtl w:val="0"/>
            </w:rPr>
            <w:t xml:space="preserve">Document code</w:t>
          </w:r>
        </w:p>
      </w:tc>
      <w:tc>
        <w:tcPr>
          <w:tcBorders>
            <w:top w:color="000000" w:space="0" w:sz="8" w:val="single"/>
            <w:left w:color="000000" w:space="0" w:sz="4" w:val="single"/>
            <w:bottom w:color="000000" w:space="0" w:sz="4" w:val="single"/>
            <w:right w:color="000000" w:space="0" w:sz="8" w:val="single"/>
          </w:tcBorders>
          <w:vAlign w:val="center"/>
        </w:tcPr>
        <w:p w:rsidR="00000000" w:rsidDel="00000000" w:rsidP="00000000" w:rsidRDefault="00000000" w:rsidRPr="00000000" w14:paraId="000000E9">
          <w:pPr>
            <w:spacing w:before="60" w:lineRule="auto"/>
            <w:jc w:val="center"/>
            <w:rPr>
              <w:rFonts w:ascii="Calibri" w:cs="Calibri" w:eastAsia="Calibri" w:hAnsi="Calibri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sz w:val="24"/>
              <w:szCs w:val="24"/>
              <w:vertAlign w:val="baseline"/>
              <w:rtl w:val="0"/>
            </w:rPr>
            <w:t xml:space="preserve">LM 01.01</w:t>
          </w:r>
        </w:p>
      </w:tc>
    </w:tr>
    <w:tr>
      <w:trPr>
        <w:cantSplit w:val="1"/>
        <w:trHeight w:val="540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</w:tcBorders>
          <w:vAlign w:val="top"/>
        </w:tcPr>
        <w:p w:rsidR="00000000" w:rsidDel="00000000" w:rsidP="00000000" w:rsidRDefault="00000000" w:rsidRPr="00000000" w14:paraId="000000E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alibri" w:cs="Calibri" w:eastAsia="Calibri" w:hAnsi="Calibri"/>
              <w:sz w:val="24"/>
              <w:szCs w:val="2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8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E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alibri" w:cs="Calibri" w:eastAsia="Calibri" w:hAnsi="Calibri"/>
              <w:sz w:val="24"/>
              <w:szCs w:val="2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EC">
          <w:pPr>
            <w:tabs>
              <w:tab w:val="right" w:pos="4304"/>
            </w:tabs>
            <w:spacing w:after="30" w:before="30" w:lineRule="auto"/>
            <w:jc w:val="right"/>
            <w:rPr>
              <w:rFonts w:ascii="Calibri" w:cs="Calibri" w:eastAsia="Calibri" w:hAnsi="Calibri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sz w:val="24"/>
              <w:szCs w:val="24"/>
              <w:vertAlign w:val="baseline"/>
              <w:rtl w:val="0"/>
            </w:rPr>
            <w:t xml:space="preserve">Approval date</w:t>
          </w:r>
        </w:p>
      </w:tc>
      <w:tc>
        <w:tcPr>
          <w:tcBorders>
            <w:top w:color="000000" w:space="0" w:sz="4" w:val="single"/>
            <w:left w:color="000000" w:space="0" w:sz="4" w:val="single"/>
            <w:right w:color="000000" w:space="0" w:sz="8" w:val="single"/>
          </w:tcBorders>
          <w:vAlign w:val="center"/>
        </w:tcPr>
        <w:p w:rsidR="00000000" w:rsidDel="00000000" w:rsidP="00000000" w:rsidRDefault="00000000" w:rsidRPr="00000000" w14:paraId="000000ED">
          <w:pPr>
            <w:tabs>
              <w:tab w:val="right" w:pos="4304"/>
            </w:tabs>
            <w:spacing w:after="30" w:before="30" w:lineRule="auto"/>
            <w:jc w:val="center"/>
            <w:rPr>
              <w:rFonts w:ascii="Calibri" w:cs="Calibri" w:eastAsia="Calibri" w:hAnsi="Calibri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sz w:val="24"/>
              <w:szCs w:val="24"/>
              <w:vertAlign w:val="baseline"/>
              <w:rtl w:val="0"/>
            </w:rPr>
            <w:t xml:space="preserve">2022/05</w:t>
          </w:r>
        </w:p>
      </w:tc>
    </w:tr>
  </w:tbl>
  <w:p w:rsidR="00000000" w:rsidDel="00000000" w:rsidP="00000000" w:rsidRDefault="00000000" w:rsidRPr="00000000" w14:paraId="000000E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581.0" w:type="dxa"/>
      <w:jc w:val="left"/>
      <w:tblInd w:w="113.0" w:type="pc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2340"/>
      <w:gridCol w:w="3897"/>
      <w:gridCol w:w="1904"/>
      <w:gridCol w:w="1440"/>
      <w:tblGridChange w:id="0">
        <w:tblGrid>
          <w:gridCol w:w="2340"/>
          <w:gridCol w:w="3897"/>
          <w:gridCol w:w="1904"/>
          <w:gridCol w:w="1440"/>
        </w:tblGrid>
      </w:tblGridChange>
    </w:tblGrid>
    <w:tr>
      <w:trPr>
        <w:cantSplit w:val="1"/>
        <w:trHeight w:val="561" w:hRule="atLeast"/>
        <w:tblHeader w:val="0"/>
      </w:trPr>
      <w:tc>
        <w:tcPr>
          <w:vMerge w:val="restart"/>
          <w:tcBorders>
            <w:top w:color="000000" w:space="0" w:sz="8" w:val="single"/>
            <w:left w:color="000000" w:space="0" w:sz="8" w:val="single"/>
          </w:tcBorders>
          <w:vAlign w:val="top"/>
        </w:tcPr>
        <w:p w:rsidR="00000000" w:rsidDel="00000000" w:rsidP="00000000" w:rsidRDefault="00000000" w:rsidRPr="00000000" w14:paraId="000000F0">
          <w:pPr>
            <w:tabs>
              <w:tab w:val="left" w:pos="-720"/>
            </w:tabs>
            <w:spacing w:after="28" w:before="80" w:lineRule="auto"/>
            <w:rPr>
              <w:sz w:val="20"/>
              <w:szCs w:val="20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-81279</wp:posOffset>
                </wp:positionV>
                <wp:extent cx="1217930" cy="103314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7930" cy="1033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vMerge w:val="restart"/>
          <w:tcBorders>
            <w:top w:color="000000" w:space="0" w:sz="8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1">
          <w:pPr>
            <w:jc w:val="center"/>
            <w:rPr>
              <w:rFonts w:ascii="Times New Roman" w:cs="Times New Roman" w:eastAsia="Times New Roman" w:hAnsi="Times New Roman"/>
              <w:b w:val="0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4"/>
              <w:szCs w:val="24"/>
              <w:vertAlign w:val="baseline"/>
              <w:rtl w:val="0"/>
            </w:rPr>
            <w:t xml:space="preserve">OVERALL DOCUMENT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F2">
          <w:pPr>
            <w:jc w:val="center"/>
            <w:rPr>
              <w:rFonts w:ascii="Times New Roman" w:cs="Times New Roman" w:eastAsia="Times New Roman" w:hAnsi="Times New Roman"/>
              <w:b w:val="0"/>
              <w:sz w:val="24"/>
              <w:szCs w:val="24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4"/>
              <w:szCs w:val="24"/>
              <w:vertAlign w:val="baseline"/>
              <w:rtl w:val="0"/>
            </w:rPr>
            <w:t xml:space="preserve">LIST OF CURRENT DOCUMENTS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  <w:tab w:val="right" w:pos="1192"/>
              <w:tab w:val="right" w:pos="4304"/>
            </w:tabs>
            <w:spacing w:after="30" w:before="3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Document:</w:t>
          </w:r>
        </w:p>
      </w:tc>
      <w:tc>
        <w:tcPr>
          <w:tcBorders>
            <w:top w:color="000000" w:space="0" w:sz="8" w:val="single"/>
            <w:left w:color="000000" w:space="0" w:sz="4" w:val="single"/>
            <w:bottom w:color="000000" w:space="0" w:sz="4" w:val="single"/>
            <w:right w:color="000000" w:space="0" w:sz="8" w:val="single"/>
          </w:tcBorders>
          <w:vAlign w:val="center"/>
        </w:tcPr>
        <w:p w:rsidR="00000000" w:rsidDel="00000000" w:rsidP="00000000" w:rsidRDefault="00000000" w:rsidRPr="00000000" w14:paraId="000000F4">
          <w:pPr>
            <w:spacing w:before="60" w:lineRule="auto"/>
            <w:jc w:val="center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  <w:rtl w:val="0"/>
            </w:rPr>
            <w:t xml:space="preserve">DS 02</w:t>
          </w:r>
        </w:p>
      </w:tc>
    </w:tr>
    <w:tr>
      <w:trPr>
        <w:cantSplit w:val="1"/>
        <w:trHeight w:val="180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</w:tcBorders>
          <w:vAlign w:val="top"/>
        </w:tcPr>
        <w:p w:rsidR="00000000" w:rsidDel="00000000" w:rsidP="00000000" w:rsidRDefault="00000000" w:rsidRPr="00000000" w14:paraId="000000F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8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7">
          <w:pPr>
            <w:tabs>
              <w:tab w:val="right" w:pos="4304"/>
            </w:tabs>
            <w:spacing w:after="30" w:before="30" w:lineRule="auto"/>
            <w:jc w:val="righ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  <w:rtl w:val="0"/>
            </w:rPr>
            <w:t xml:space="preserve">Version number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8" w:val="single"/>
          </w:tcBorders>
          <w:vAlign w:val="center"/>
        </w:tcPr>
        <w:p w:rsidR="00000000" w:rsidDel="00000000" w:rsidP="00000000" w:rsidRDefault="00000000" w:rsidRPr="00000000" w14:paraId="000000F8">
          <w:pPr>
            <w:tabs>
              <w:tab w:val="right" w:pos="4304"/>
            </w:tabs>
            <w:spacing w:after="30" w:before="30" w:lineRule="auto"/>
            <w:jc w:val="center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  <w:rtl w:val="0"/>
            </w:rPr>
            <w:t xml:space="preserve">1</w:t>
          </w:r>
        </w:p>
      </w:tc>
    </w:tr>
    <w:tr>
      <w:trPr>
        <w:cantSplit w:val="1"/>
        <w:trHeight w:val="180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</w:tcBorders>
          <w:vAlign w:val="top"/>
        </w:tcPr>
        <w:p w:rsidR="00000000" w:rsidDel="00000000" w:rsidP="00000000" w:rsidRDefault="00000000" w:rsidRPr="00000000" w14:paraId="000000F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8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B">
          <w:pPr>
            <w:tabs>
              <w:tab w:val="right" w:pos="4304"/>
            </w:tabs>
            <w:spacing w:after="30" w:before="30" w:lineRule="auto"/>
            <w:jc w:val="righ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  <w:rtl w:val="0"/>
            </w:rPr>
            <w:t xml:space="preserve">Version date: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8" w:val="single"/>
          </w:tcBorders>
          <w:vAlign w:val="center"/>
        </w:tcPr>
        <w:p w:rsidR="00000000" w:rsidDel="00000000" w:rsidP="00000000" w:rsidRDefault="00000000" w:rsidRPr="00000000" w14:paraId="000000FC">
          <w:pPr>
            <w:tabs>
              <w:tab w:val="right" w:pos="4304"/>
            </w:tabs>
            <w:spacing w:after="30" w:before="30" w:lineRule="auto"/>
            <w:jc w:val="center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  <w:rtl w:val="0"/>
            </w:rPr>
            <w:t xml:space="preserve">01/Sep/2007</w:t>
          </w:r>
        </w:p>
      </w:tc>
    </w:tr>
    <w:tr>
      <w:trPr>
        <w:cantSplit w:val="1"/>
        <w:trHeight w:val="275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</w:tcBorders>
          <w:vAlign w:val="top"/>
        </w:tcPr>
        <w:p w:rsidR="00000000" w:rsidDel="00000000" w:rsidP="00000000" w:rsidRDefault="00000000" w:rsidRPr="00000000" w14:paraId="000000F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8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FF">
          <w:pPr>
            <w:tabs>
              <w:tab w:val="right" w:pos="4304"/>
            </w:tabs>
            <w:spacing w:after="30" w:before="30" w:lineRule="auto"/>
            <w:jc w:val="right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  <w:rtl w:val="0"/>
            </w:rPr>
            <w:t xml:space="preserve">Page: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8" w:val="single"/>
          </w:tcBorders>
          <w:vAlign w:val="center"/>
        </w:tcPr>
        <w:p w:rsidR="00000000" w:rsidDel="00000000" w:rsidP="00000000" w:rsidRDefault="00000000" w:rsidRPr="00000000" w14:paraId="00000100">
          <w:pPr>
            <w:tabs>
              <w:tab w:val="right" w:pos="4304"/>
            </w:tabs>
            <w:spacing w:after="30" w:before="30" w:lineRule="auto"/>
            <w:jc w:val="center"/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0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120" w:before="12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after="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tabs>
        <w:tab w:val="right" w:leader="none" w:pos="4304"/>
      </w:tabs>
      <w:suppressAutoHyphens w:val="0"/>
      <w:spacing w:after="30" w:before="30" w:line="1" w:lineRule="atLeast"/>
      <w:ind w:leftChars="-1" w:rightChars="0" w:firstLineChars="-1"/>
      <w:jc w:val="right"/>
      <w:textDirection w:val="btLr"/>
      <w:textAlignment w:val="top"/>
      <w:outlineLvl w:val="8"/>
    </w:pPr>
    <w:rPr>
      <w:rFonts w:ascii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after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w w:val="100"/>
      <w:position w:val="-1"/>
      <w:sz w:val="18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after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ítulo">
    <w:name w:val="Título"/>
    <w:basedOn w:val="Normal"/>
    <w:next w:val="Normal"/>
    <w:autoRedefine w:val="0"/>
    <w:hidden w:val="0"/>
    <w:qFormat w:val="0"/>
    <w:pPr>
      <w:pBdr>
        <w:top w:color="ffffff" w:space="10" w:sz="4" w:val="single"/>
        <w:left w:color="ffffff" w:space="4" w:sz="4" w:val="single"/>
        <w:bottom w:color="ffffff" w:space="10" w:sz="4" w:val="single"/>
        <w:right w:color="ffffff" w:space="4" w:sz="4" w:val="single"/>
      </w:pBdr>
      <w:shd w:color="auto" w:fill="e6e6e6" w:val="clear"/>
      <w:suppressAutoHyphens w:val="1"/>
      <w:spacing w:after="48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cap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Númerodepágina">
    <w:name w:val="Número de página"/>
    <w:basedOn w:val="Fonteparág.padrão"/>
    <w:next w:val="Númerodepá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ablenormal">
    <w:name w:val="Table normal"/>
    <w:basedOn w:val="Normal"/>
    <w:next w:val="Tablenormal"/>
    <w:autoRedefine w:val="0"/>
    <w:hidden w:val="0"/>
    <w:qFormat w:val="0"/>
    <w:pPr>
      <w:keepLines w:val="1"/>
      <w:suppressAutoHyphens w:val="1"/>
      <w:spacing w:after="60" w:before="6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18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ableHeader-2">
    <w:name w:val="Table Header-2"/>
    <w:basedOn w:val="Tablenormal"/>
    <w:next w:val="TableHeader-2"/>
    <w:autoRedefine w:val="0"/>
    <w:hidden w:val="0"/>
    <w:qFormat w:val="0"/>
    <w:pPr>
      <w:keepLines w:val="1"/>
      <w:tabs>
        <w:tab w:val="left" w:leader="none" w:pos="851"/>
        <w:tab w:val="left" w:leader="none" w:pos="3969"/>
        <w:tab w:val="left" w:leader="none" w:pos="4536"/>
        <w:tab w:val="left" w:leader="none" w:pos="5103"/>
        <w:tab w:val="left" w:leader="none" w:pos="5670"/>
      </w:tabs>
      <w:suppressAutoHyphens w:val="1"/>
      <w:spacing w:after="60" w:before="6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noProof w:val="0"/>
      <w:w w:val="100"/>
      <w:position w:val="-1"/>
      <w:sz w:val="18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paragraph" w:styleId="Textodecomentário">
    <w:name w:val="Texto de comentário"/>
    <w:basedOn w:val="Normal"/>
    <w:next w:val="Textodecomentário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hAnsi="Arial"/>
      <w:noProof w:val="0"/>
      <w:w w:val="100"/>
      <w:position w:val="-1"/>
      <w:sz w:val="24"/>
      <w:szCs w:val="20"/>
      <w:effect w:val="none"/>
      <w:vertAlign w:val="baseline"/>
      <w:cs w:val="0"/>
      <w:em w:val="none"/>
      <w:lang w:bidi="ar-SA" w:eastAsia="es-ES" w:val="en-US"/>
    </w:rPr>
  </w:style>
  <w:style w:type="character" w:styleId="Ref.decomentário">
    <w:name w:val="Ref. de comentário"/>
    <w:next w:val="Ref.decomentário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Assuntodocomentário">
    <w:name w:val="Assunto do comentário"/>
    <w:basedOn w:val="Textodecomentário"/>
    <w:next w:val="Textodecomentário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bCs w:val="1"/>
      <w:noProof w:val="0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TextodecomentárioChar">
    <w:name w:val="Texto de comentário Char"/>
    <w:next w:val="TextodecomentárioChar"/>
    <w:autoRedefine w:val="0"/>
    <w:hidden w:val="0"/>
    <w:qFormat w:val="0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s-ES"/>
    </w:rPr>
  </w:style>
  <w:style w:type="character" w:styleId="AssuntodocomentárioChar">
    <w:name w:val="Assunto do comentário Char"/>
    <w:next w:val="AssuntodocomentárioChar"/>
    <w:autoRedefine w:val="0"/>
    <w:hidden w:val="0"/>
    <w:qFormat w:val="0"/>
    <w:rPr>
      <w:rFonts w:ascii="Arial" w:hAnsi="Arial"/>
      <w:b w:val="1"/>
      <w:bCs w:val="1"/>
      <w:w w:val="100"/>
      <w:position w:val="-1"/>
      <w:sz w:val="24"/>
      <w:effect w:val="none"/>
      <w:vertAlign w:val="baseline"/>
      <w:cs w:val="0"/>
      <w:em w:val="none"/>
      <w:lang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abeçalhoChar">
    <w:name w:val="Cabeçalho Char"/>
    <w:next w:val="CabeçalhoChar"/>
    <w:autoRedefine w:val="0"/>
    <w:hidden w:val="0"/>
    <w:qFormat w:val="0"/>
    <w:rPr>
      <w:rFonts w:ascii="Arial" w:hAnsi="Arial"/>
      <w:w w:val="100"/>
      <w:position w:val="-1"/>
      <w:sz w:val="18"/>
      <w:szCs w:val="24"/>
      <w:effect w:val="none"/>
      <w:vertAlign w:val="baseline"/>
      <w:cs w:val="0"/>
      <w:em w:val="none"/>
      <w:lang w:eastAsia="en-US" w:val="en-US"/>
    </w:rPr>
  </w:style>
  <w:style w:type="character" w:styleId="Título2Char">
    <w:name w:val="Título 2 Char"/>
    <w:next w:val="Título2Char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character" w:styleId="MençãoPendente1">
    <w:name w:val="Menção Pendente1"/>
    <w:next w:val="MençãoPendente1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Revisão">
    <w:name w:val="Revisão"/>
    <w:next w:val="Revisã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3.0" w:type="dxa"/>
        <w:bottom w:w="0.0" w:type="dxa"/>
        <w:right w:w="113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3.0" w:type="dxa"/>
        <w:bottom w:w="0.0" w:type="dxa"/>
        <w:right w:w="113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dn.pefc.org/pefc.be/media/2021-06/bb885b57-1b79-4369-87fe-b3ca4c1d1656/1b5efb01-eace-52d8-b516-9994ea75ca40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dn.pefc.org/pefc.org/media/2019-03/97bed3e4-f9ed-47a0-b94d-4e49a701bc4b/54d7a846-5f54-56e8-b699-32409f4fabe5.pdf" TargetMode="External"/><Relationship Id="rId8" Type="http://schemas.openxmlformats.org/officeDocument/2006/relationships/hyperlink" Target="https://cdn.pefc.org/pefc.org/media/2019-03/e2514a91-2339-4f88-9ce1-3322785d253b/5c308516-09fe-523b-bd89-3a3dc0d54c4a.pdf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7ngLSnsL1VAAvq8nHL3nczh+uQ==">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2022-04-15T13:25:00Z</dcterms:created>
  <dc:creator>PEFC Uruguay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